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77" w:rsidRDefault="005F01DE">
      <w:pPr>
        <w:widowControl w:val="0"/>
        <w:autoSpaceDE w:val="0"/>
        <w:autoSpaceDN w:val="0"/>
        <w:spacing w:after="0" w:line="240" w:lineRule="auto"/>
        <w:ind w:left="11340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Приложение N 7</w:t>
      </w:r>
    </w:p>
    <w:p w:rsidR="000B4A77" w:rsidRDefault="005F01DE">
      <w:pPr>
        <w:widowControl w:val="0"/>
        <w:autoSpaceDE w:val="0"/>
        <w:autoSpaceDN w:val="0"/>
        <w:spacing w:after="0" w:line="240" w:lineRule="auto"/>
        <w:ind w:left="11340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к Единым стандартам</w:t>
      </w:r>
    </w:p>
    <w:p w:rsidR="000B4A77" w:rsidRDefault="005F01DE">
      <w:pPr>
        <w:widowControl w:val="0"/>
        <w:autoSpaceDE w:val="0"/>
        <w:autoSpaceDN w:val="0"/>
        <w:spacing w:after="0" w:line="240" w:lineRule="auto"/>
        <w:ind w:left="11340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качества обслуживания </w:t>
      </w:r>
      <w:proofErr w:type="gramStart"/>
      <w:r>
        <w:rPr>
          <w:rFonts w:ascii="Times New Roman" w:eastAsia="Times New Roman" w:hAnsi="Times New Roman" w:cs="Times New Roman"/>
          <w:szCs w:val="20"/>
          <w:lang w:eastAsia="ru-RU"/>
        </w:rPr>
        <w:t>сетевыми</w:t>
      </w:r>
      <w:proofErr w:type="gramEnd"/>
    </w:p>
    <w:p w:rsidR="000B4A77" w:rsidRDefault="005F01DE">
      <w:pPr>
        <w:widowControl w:val="0"/>
        <w:autoSpaceDE w:val="0"/>
        <w:autoSpaceDN w:val="0"/>
        <w:spacing w:after="0" w:line="240" w:lineRule="auto"/>
        <w:ind w:left="11340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организациями потребителей</w:t>
      </w:r>
    </w:p>
    <w:p w:rsidR="000B4A77" w:rsidRDefault="005F01DE">
      <w:pPr>
        <w:widowControl w:val="0"/>
        <w:autoSpaceDE w:val="0"/>
        <w:autoSpaceDN w:val="0"/>
        <w:spacing w:after="0" w:line="240" w:lineRule="auto"/>
        <w:ind w:left="11340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услуг сетевых организаций</w:t>
      </w:r>
    </w:p>
    <w:p w:rsidR="000B4A77" w:rsidRDefault="000B4A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B4A77" w:rsidRDefault="000B4A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B4A77" w:rsidRDefault="005F01DE">
      <w:pPr>
        <w:widowControl w:val="0"/>
        <w:autoSpaceDE w:val="0"/>
        <w:autoSpaceDN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качестве обслуживания потребителей услуг</w:t>
      </w:r>
    </w:p>
    <w:p w:rsidR="000B4A77" w:rsidRDefault="005F01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«Ставропольская электросеть» за 2019 год</w:t>
      </w:r>
    </w:p>
    <w:p w:rsidR="000B4A77" w:rsidRDefault="005F01DE">
      <w:pPr>
        <w:keepNext/>
        <w:keepLines/>
        <w:spacing w:before="480" w:after="0" w:line="200" w:lineRule="atLeast"/>
        <w:outlineLvl w:val="0"/>
        <w:rPr>
          <w:rFonts w:ascii="Times New Roman" w:eastAsiaTheme="majorEastAsia" w:hAnsi="Times New Roman" w:cs="Times New Roman"/>
          <w:b/>
          <w:bCs/>
        </w:rPr>
      </w:pPr>
      <w:bookmarkStart w:id="0" w:name="_Toc4759820"/>
      <w:r>
        <w:rPr>
          <w:rFonts w:ascii="Times New Roman" w:eastAsiaTheme="majorEastAsia" w:hAnsi="Times New Roman" w:cs="Times New Roman"/>
          <w:b/>
          <w:bCs/>
        </w:rPr>
        <w:t xml:space="preserve">1. Общая информация о сетевой </w:t>
      </w:r>
      <w:r>
        <w:rPr>
          <w:rFonts w:ascii="Times New Roman" w:eastAsiaTheme="majorEastAsia" w:hAnsi="Times New Roman" w:cs="Times New Roman"/>
          <w:b/>
          <w:bCs/>
        </w:rPr>
        <w:t>организации</w:t>
      </w:r>
      <w:bookmarkEnd w:id="0"/>
    </w:p>
    <w:p w:rsidR="000B4A77" w:rsidRDefault="005F01DE">
      <w:pPr>
        <w:keepNext/>
        <w:keepLines/>
        <w:spacing w:before="200" w:after="0" w:line="200" w:lineRule="atLeast"/>
        <w:jc w:val="both"/>
        <w:outlineLvl w:val="1"/>
        <w:rPr>
          <w:rFonts w:ascii="Times New Roman" w:eastAsiaTheme="majorEastAsia" w:hAnsi="Times New Roman" w:cs="Times New Roman"/>
          <w:b/>
          <w:bCs/>
        </w:rPr>
      </w:pPr>
      <w:bookmarkStart w:id="1" w:name="_Toc4759821"/>
      <w:r>
        <w:rPr>
          <w:rFonts w:ascii="Times New Roman" w:eastAsiaTheme="majorEastAsia" w:hAnsi="Times New Roman" w:cs="Times New Roman"/>
          <w:b/>
          <w:bCs/>
        </w:rPr>
        <w:t xml:space="preserve">1.1. Информация о количестве потребителей услуг </w:t>
      </w:r>
      <w:r>
        <w:rPr>
          <w:rFonts w:ascii="Times New Roman" w:eastAsia="Times New Roman" w:hAnsi="Times New Roman" w:cs="Times New Roman"/>
          <w:b/>
          <w:lang w:eastAsia="ru-RU"/>
        </w:rPr>
        <w:t>ООО «Ставропольская электросеть»</w:t>
      </w:r>
      <w:r>
        <w:rPr>
          <w:rFonts w:ascii="Times New Roman" w:eastAsiaTheme="majorEastAsia" w:hAnsi="Times New Roman" w:cs="Times New Roman"/>
          <w:b/>
          <w:bCs/>
        </w:rPr>
        <w:t xml:space="preserve"> в границах балансовой принадлежности.</w:t>
      </w:r>
      <w:bookmarkEnd w:id="1"/>
    </w:p>
    <w:p w:rsidR="000B4A77" w:rsidRDefault="005F01DE">
      <w:pPr>
        <w:spacing w:line="200" w:lineRule="atLeast"/>
        <w:jc w:val="both"/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eastAsiaTheme="majorEastAsia" w:hAnsi="Times New Roman" w:cs="Times New Roman"/>
        </w:rPr>
        <w:t>Количество потребителей услуг сетевой организации (дале</w:t>
      </w:r>
      <w:proofErr w:type="gramStart"/>
      <w:r>
        <w:rPr>
          <w:rFonts w:ascii="Times New Roman" w:eastAsiaTheme="majorEastAsia" w:hAnsi="Times New Roman" w:cs="Times New Roman"/>
        </w:rPr>
        <w:t>е-</w:t>
      </w:r>
      <w:proofErr w:type="gramEnd"/>
      <w:r>
        <w:rPr>
          <w:rFonts w:ascii="Times New Roman" w:eastAsiaTheme="majorEastAsia" w:hAnsi="Times New Roman" w:cs="Times New Roman"/>
        </w:rPr>
        <w:t xml:space="preserve"> потребители) с разбивкой по уровням напряжения</w:t>
      </w:r>
      <w:r>
        <w:rPr>
          <w:rFonts w:ascii="Times New Roman" w:eastAsiaTheme="majorEastAsia" w:hAnsi="Times New Roman" w:cs="Times New Roman"/>
          <w:color w:val="000000" w:themeColor="text1"/>
        </w:rPr>
        <w:t xml:space="preserve"> (ВН-0, СН2-13, НН-23</w:t>
      </w:r>
      <w:r>
        <w:rPr>
          <w:rFonts w:ascii="Times New Roman" w:eastAsiaTheme="majorEastAsia" w:hAnsi="Times New Roman" w:cs="Times New Roman"/>
          <w:color w:val="000000" w:themeColor="text1"/>
        </w:rPr>
        <w:t>47),</w:t>
      </w:r>
      <w:r>
        <w:rPr>
          <w:rFonts w:ascii="Times New Roman" w:eastAsiaTheme="majorEastAsia" w:hAnsi="Times New Roman" w:cs="Times New Roman"/>
        </w:rPr>
        <w:t xml:space="preserve"> к категориям надежности (категория надежности-3) и типу потребителей (физические и юридические (2360)), а также динамика по отношению к году, предшествующему отчетному  (количество увеличилось на 3,7 %).</w:t>
      </w:r>
    </w:p>
    <w:p w:rsidR="000B4A77" w:rsidRDefault="005F01DE">
      <w:pPr>
        <w:spacing w:line="200" w:lineRule="atLeast"/>
        <w:jc w:val="both"/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eastAsiaTheme="majorEastAsia" w:hAnsi="Times New Roman" w:cs="Times New Roman"/>
          <w:b/>
          <w:bCs/>
        </w:rPr>
        <w:t>1.2. Информация о количестве точек поставки в г</w:t>
      </w:r>
      <w:r>
        <w:rPr>
          <w:rFonts w:ascii="Times New Roman" w:eastAsiaTheme="majorEastAsia" w:hAnsi="Times New Roman" w:cs="Times New Roman"/>
          <w:b/>
          <w:bCs/>
        </w:rPr>
        <w:t>раницах балансовой принадлежности и оснащенности приборами учета</w:t>
      </w:r>
    </w:p>
    <w:p w:rsidR="000B4A77" w:rsidRDefault="005F01DE">
      <w:pPr>
        <w:widowControl w:val="0"/>
        <w:autoSpaceDE w:val="0"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Количество точек поставки всего 2507 и точек поставки, оборудованных приборами учета электрической энергии 2507, динамика по отношению к году, предшествующему отчетному 2296  (+ 9,2%)</w:t>
      </w:r>
    </w:p>
    <w:p w:rsidR="000B4A77" w:rsidRDefault="005F01DE">
      <w:pPr>
        <w:keepNext/>
        <w:keepLines/>
        <w:spacing w:before="200" w:after="0"/>
        <w:jc w:val="both"/>
        <w:outlineLvl w:val="1"/>
        <w:rPr>
          <w:rFonts w:ascii="Times New Roman" w:eastAsiaTheme="majorEastAsia" w:hAnsi="Times New Roman" w:cs="Times New Roman"/>
          <w:b/>
          <w:bCs/>
        </w:rPr>
      </w:pPr>
      <w:bookmarkStart w:id="2" w:name="_Toc4759822"/>
      <w:r>
        <w:rPr>
          <w:rFonts w:ascii="Times New Roman" w:eastAsiaTheme="majorEastAsia" w:hAnsi="Times New Roman" w:cs="Times New Roman"/>
          <w:b/>
          <w:bCs/>
        </w:rPr>
        <w:t xml:space="preserve">1.3. </w:t>
      </w:r>
      <w:r>
        <w:rPr>
          <w:rFonts w:ascii="Times New Roman" w:eastAsiaTheme="majorEastAsia" w:hAnsi="Times New Roman" w:cs="Times New Roman"/>
          <w:b/>
          <w:bCs/>
        </w:rPr>
        <w:t>Информация об объектах электросетевого хозяйства сетевой организации.</w:t>
      </w:r>
      <w:bookmarkEnd w:id="2"/>
    </w:p>
    <w:tbl>
      <w:tblPr>
        <w:tblW w:w="14320" w:type="dxa"/>
        <w:tblInd w:w="93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632"/>
        <w:gridCol w:w="1429"/>
        <w:gridCol w:w="1710"/>
        <w:gridCol w:w="1634"/>
        <w:gridCol w:w="1736"/>
        <w:gridCol w:w="1557"/>
        <w:gridCol w:w="1634"/>
        <w:gridCol w:w="1429"/>
        <w:gridCol w:w="1559"/>
      </w:tblGrid>
      <w:tr w:rsidR="000B4A77">
        <w:trPr>
          <w:trHeight w:val="364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год</w:t>
            </w:r>
          </w:p>
        </w:tc>
        <w:tc>
          <w:tcPr>
            <w:tcW w:w="6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длина воздушных линий,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км</w:t>
            </w:r>
            <w:proofErr w:type="gramEnd"/>
          </w:p>
        </w:tc>
        <w:tc>
          <w:tcPr>
            <w:tcW w:w="6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длина кабельных линий,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км</w:t>
            </w:r>
            <w:proofErr w:type="gramEnd"/>
          </w:p>
        </w:tc>
      </w:tr>
      <w:tr w:rsidR="000B4A77">
        <w:trPr>
          <w:trHeight w:val="364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7" w:rsidRDefault="000B4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НН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НН</w:t>
            </w:r>
          </w:p>
        </w:tc>
      </w:tr>
      <w:tr w:rsidR="000B4A77">
        <w:trPr>
          <w:trHeight w:val="364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19,240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107,090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B4A77">
        <w:trPr>
          <w:trHeight w:val="364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98,810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15,830</w:t>
            </w:r>
          </w:p>
        </w:tc>
      </w:tr>
    </w:tbl>
    <w:p w:rsidR="000B4A77" w:rsidRDefault="000B4A77">
      <w:pPr>
        <w:keepNext/>
        <w:keepLines/>
        <w:spacing w:before="200" w:after="0"/>
        <w:outlineLvl w:val="1"/>
        <w:rPr>
          <w:rFonts w:ascii="Times New Roman" w:eastAsiaTheme="majorEastAsia" w:hAnsi="Times New Roman" w:cs="Times New Roman"/>
          <w:b/>
          <w:bCs/>
        </w:rPr>
      </w:pPr>
    </w:p>
    <w:tbl>
      <w:tblPr>
        <w:tblW w:w="14459" w:type="dxa"/>
        <w:tblInd w:w="93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690"/>
        <w:gridCol w:w="3225"/>
        <w:gridCol w:w="3858"/>
        <w:gridCol w:w="3686"/>
      </w:tblGrid>
      <w:tr w:rsidR="000B4A77">
        <w:trPr>
          <w:trHeight w:val="292"/>
        </w:trPr>
        <w:tc>
          <w:tcPr>
            <w:tcW w:w="3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год</w:t>
            </w:r>
          </w:p>
        </w:tc>
        <w:tc>
          <w:tcPr>
            <w:tcW w:w="10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подстанций</w:t>
            </w:r>
          </w:p>
        </w:tc>
      </w:tr>
      <w:tr w:rsidR="000B4A77">
        <w:trPr>
          <w:trHeight w:val="292"/>
        </w:trPr>
        <w:tc>
          <w:tcPr>
            <w:tcW w:w="3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7" w:rsidRDefault="000B4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110кВ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35кВ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6(10)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кВ</w:t>
            </w:r>
            <w:proofErr w:type="spellEnd"/>
          </w:p>
        </w:tc>
      </w:tr>
      <w:tr w:rsidR="000B4A77">
        <w:trPr>
          <w:trHeight w:val="29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</w:tr>
      <w:tr w:rsidR="000B4A77">
        <w:trPr>
          <w:trHeight w:val="29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</w:tr>
      <w:tr w:rsidR="000B4A77">
        <w:trPr>
          <w:trHeight w:val="29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Динамика изменений, %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</w:t>
            </w:r>
          </w:p>
        </w:tc>
      </w:tr>
    </w:tbl>
    <w:p w:rsidR="000B4A77" w:rsidRDefault="005F01DE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="Times New Roman"/>
          <w:b/>
          <w:bCs/>
        </w:rPr>
      </w:pPr>
      <w:bookmarkStart w:id="3" w:name="_Toc4759823"/>
      <w:r>
        <w:rPr>
          <w:rFonts w:ascii="Times New Roman" w:eastAsiaTheme="majorEastAsia" w:hAnsi="Times New Roman" w:cs="Times New Roman"/>
          <w:b/>
          <w:bCs/>
        </w:rPr>
        <w:lastRenderedPageBreak/>
        <w:t>1.4. Уровень физического износа объектов электросетевого хозяйств</w:t>
      </w:r>
      <w:proofErr w:type="gramStart"/>
      <w:r>
        <w:rPr>
          <w:rFonts w:ascii="Times New Roman" w:eastAsiaTheme="majorEastAsia" w:hAnsi="Times New Roman" w:cs="Times New Roman"/>
          <w:b/>
          <w:bCs/>
        </w:rPr>
        <w:t xml:space="preserve">а </w:t>
      </w:r>
      <w:r>
        <w:rPr>
          <w:rFonts w:ascii="Times New Roman" w:eastAsia="Times New Roman" w:hAnsi="Times New Roman" w:cs="Times New Roman"/>
          <w:b/>
          <w:lang w:eastAsia="ru-RU"/>
        </w:rPr>
        <w:t>ООО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«Ставропольская электросеть»</w:t>
      </w:r>
      <w:r>
        <w:rPr>
          <w:rFonts w:ascii="Times New Roman" w:eastAsiaTheme="majorEastAsia" w:hAnsi="Times New Roman" w:cs="Times New Roman"/>
          <w:b/>
          <w:bCs/>
        </w:rPr>
        <w:t>.</w:t>
      </w:r>
      <w:bookmarkEnd w:id="3"/>
    </w:p>
    <w:p w:rsidR="000B4A77" w:rsidRDefault="000B4A77">
      <w:pPr>
        <w:keepNext/>
        <w:keepLines/>
        <w:spacing w:after="0" w:line="240" w:lineRule="auto"/>
        <w:jc w:val="both"/>
        <w:rPr>
          <w:rFonts w:ascii="Times New Roman" w:eastAsiaTheme="majorEastAsia" w:hAnsi="Times New Roman" w:cs="Times New Roman"/>
          <w:bCs/>
        </w:rPr>
      </w:pPr>
    </w:p>
    <w:p w:rsidR="000B4A77" w:rsidRDefault="005F01DE">
      <w:pPr>
        <w:keepNext/>
        <w:keepLines/>
        <w:spacing w:after="0" w:line="240" w:lineRule="auto"/>
        <w:jc w:val="both"/>
        <w:rPr>
          <w:rFonts w:ascii="Times New Roman" w:eastAsiaTheme="majorEastAsia" w:hAnsi="Times New Roman" w:cs="Times New Roman"/>
          <w:bCs/>
        </w:rPr>
      </w:pPr>
      <w:r>
        <w:rPr>
          <w:rFonts w:ascii="Times New Roman" w:eastAsiaTheme="majorEastAsia" w:hAnsi="Times New Roman" w:cs="Times New Roman"/>
          <w:bCs/>
        </w:rPr>
        <w:t xml:space="preserve">Уровень физического износа объектов электросетевого хозяйства </w:t>
      </w:r>
      <w:r>
        <w:rPr>
          <w:rFonts w:ascii="Times New Roman" w:eastAsiaTheme="majorEastAsia" w:hAnsi="Times New Roman" w:cs="Times New Roman"/>
          <w:bCs/>
        </w:rPr>
        <w:t>сетевой организации</w:t>
      </w:r>
      <w:r>
        <w:rPr>
          <w:rFonts w:ascii="Times New Roman" w:eastAsiaTheme="majorEastAsia" w:hAnsi="Times New Roman" w:cs="Times New Roman"/>
          <w:bCs/>
        </w:rPr>
        <w:t xml:space="preserve">, а также динамика по отношению к году, </w:t>
      </w:r>
      <w:r w:rsidR="00D02B92">
        <w:rPr>
          <w:rFonts w:ascii="Times New Roman" w:eastAsiaTheme="majorEastAsia" w:hAnsi="Times New Roman" w:cs="Times New Roman"/>
          <w:bCs/>
        </w:rPr>
        <w:t>предшествующему отчетному</w:t>
      </w:r>
      <w:r>
        <w:rPr>
          <w:rFonts w:ascii="Times New Roman" w:eastAsiaTheme="majorEastAsia" w:hAnsi="Times New Roman" w:cs="Times New Roman"/>
          <w:bCs/>
        </w:rPr>
        <w:t>, заполняется в произвольной форме и выражается в процентах по отношению к нормативному сроку службы объектов.</w:t>
      </w:r>
    </w:p>
    <w:p w:rsidR="0090722F" w:rsidRDefault="0090722F">
      <w:pPr>
        <w:keepNext/>
        <w:keepLines/>
        <w:spacing w:after="0" w:line="240" w:lineRule="auto"/>
        <w:jc w:val="both"/>
        <w:rPr>
          <w:rFonts w:ascii="Times New Roman" w:eastAsiaTheme="majorEastAsia" w:hAnsi="Times New Roman" w:cs="Times New Roman"/>
          <w:bCs/>
        </w:rPr>
      </w:pPr>
    </w:p>
    <w:tbl>
      <w:tblPr>
        <w:tblW w:w="14459" w:type="dxa"/>
        <w:tblInd w:w="93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690"/>
        <w:gridCol w:w="3225"/>
        <w:gridCol w:w="3858"/>
        <w:gridCol w:w="3686"/>
      </w:tblGrid>
      <w:tr w:rsidR="00D02B92" w:rsidTr="007455ED">
        <w:trPr>
          <w:trHeight w:val="292"/>
        </w:trPr>
        <w:tc>
          <w:tcPr>
            <w:tcW w:w="3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B92" w:rsidRDefault="00D02B92" w:rsidP="0074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Показатель</w:t>
            </w:r>
          </w:p>
        </w:tc>
        <w:tc>
          <w:tcPr>
            <w:tcW w:w="10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2B92" w:rsidRDefault="00D02B92" w:rsidP="0074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02B9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Уровень физического износа, годы,%</w:t>
            </w:r>
          </w:p>
        </w:tc>
      </w:tr>
      <w:tr w:rsidR="00D02B92" w:rsidTr="007455ED">
        <w:trPr>
          <w:trHeight w:val="292"/>
        </w:trPr>
        <w:tc>
          <w:tcPr>
            <w:tcW w:w="3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B92" w:rsidRDefault="00D02B92" w:rsidP="0074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2B92" w:rsidRDefault="00D02B92" w:rsidP="0074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2018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2B92" w:rsidRDefault="00D02B92" w:rsidP="0074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2B92" w:rsidRDefault="00D02B92" w:rsidP="0074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Динамика изменения</w:t>
            </w:r>
          </w:p>
          <w:p w:rsidR="00D02B92" w:rsidRDefault="00D02B92" w:rsidP="0074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показателя</w:t>
            </w:r>
          </w:p>
        </w:tc>
      </w:tr>
      <w:tr w:rsidR="00D02B92" w:rsidTr="007455ED">
        <w:trPr>
          <w:trHeight w:val="29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2B92" w:rsidRDefault="00D02B92" w:rsidP="0074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Износ сетей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2B92" w:rsidRDefault="00D02B92" w:rsidP="0074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42,99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2B92" w:rsidRDefault="00D02B92" w:rsidP="0074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47,89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2B92" w:rsidRDefault="00D02B92" w:rsidP="0074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11,39</w:t>
            </w:r>
          </w:p>
        </w:tc>
      </w:tr>
      <w:tr w:rsidR="00D02B92" w:rsidTr="007455ED">
        <w:trPr>
          <w:trHeight w:val="29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2B92" w:rsidRDefault="00D02B92" w:rsidP="0074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Износ оборудования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2B92" w:rsidRDefault="00D02B92" w:rsidP="0074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35,11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2B92" w:rsidRDefault="00D02B92" w:rsidP="0074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2B92" w:rsidRDefault="00D02B92" w:rsidP="0074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17,09</w:t>
            </w:r>
          </w:p>
        </w:tc>
      </w:tr>
    </w:tbl>
    <w:p w:rsidR="000B4A77" w:rsidRDefault="000B4A77">
      <w:pPr>
        <w:rPr>
          <w:rFonts w:ascii="Times New Roman" w:eastAsiaTheme="majorEastAsia" w:hAnsi="Times New Roman" w:cs="Times New Roman"/>
        </w:rPr>
      </w:pPr>
    </w:p>
    <w:p w:rsidR="000B4A77" w:rsidRDefault="000B4A77">
      <w:pPr>
        <w:keepNext/>
        <w:keepLines/>
        <w:pageBreakBefore/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0B4A77" w:rsidRDefault="005F01DE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4" w:name="_Toc4759824"/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2. Информац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ия о качестве услуг по передаче электрической энергии</w:t>
      </w:r>
      <w:bookmarkEnd w:id="4"/>
    </w:p>
    <w:p w:rsidR="000B4A77" w:rsidRDefault="005F01DE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5" w:name="P37"/>
      <w:bookmarkStart w:id="6" w:name="_Toc4759825"/>
      <w:bookmarkEnd w:id="5"/>
      <w:r>
        <w:rPr>
          <w:rFonts w:ascii="Times New Roman" w:eastAsiaTheme="majorEastAsia" w:hAnsi="Times New Roman" w:cs="Times New Roman"/>
          <w:bCs/>
          <w:sz w:val="24"/>
          <w:szCs w:val="24"/>
        </w:rPr>
        <w:t>2.1. Показатели качества услуг по передаче электрической энергии в целом по сетевой организации в отчетном периоде, а также динамика по отношению к году, предшествующему отчетному.</w:t>
      </w:r>
      <w:bookmarkEnd w:id="6"/>
    </w:p>
    <w:p w:rsidR="000B4A77" w:rsidRDefault="000B4A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402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0"/>
        <w:gridCol w:w="9942"/>
        <w:gridCol w:w="1036"/>
        <w:gridCol w:w="1085"/>
        <w:gridCol w:w="1275"/>
      </w:tblGrid>
      <w:tr w:rsidR="000B4A77">
        <w:trPr>
          <w:trHeight w:val="65"/>
        </w:trPr>
        <w:tc>
          <w:tcPr>
            <w:tcW w:w="690" w:type="dxa"/>
            <w:vMerge w:val="restart"/>
            <w:vAlign w:val="center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</w:t>
            </w:r>
          </w:p>
        </w:tc>
        <w:tc>
          <w:tcPr>
            <w:tcW w:w="9942" w:type="dxa"/>
            <w:vMerge w:val="restart"/>
            <w:vAlign w:val="center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Показатель</w:t>
            </w:r>
          </w:p>
        </w:tc>
        <w:tc>
          <w:tcPr>
            <w:tcW w:w="3396" w:type="dxa"/>
            <w:gridSpan w:val="3"/>
            <w:vAlign w:val="center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Значени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 показателя, годы</w:t>
            </w:r>
          </w:p>
        </w:tc>
      </w:tr>
      <w:tr w:rsidR="000B4A77">
        <w:trPr>
          <w:trHeight w:val="172"/>
        </w:trPr>
        <w:tc>
          <w:tcPr>
            <w:tcW w:w="690" w:type="dxa"/>
            <w:vMerge/>
            <w:vAlign w:val="center"/>
          </w:tcPr>
          <w:p w:rsidR="000B4A77" w:rsidRDefault="000B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2" w:type="dxa"/>
            <w:vMerge/>
            <w:vAlign w:val="center"/>
          </w:tcPr>
          <w:p w:rsidR="000B4A77" w:rsidRDefault="000B4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Align w:val="center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N-1</w:t>
            </w:r>
          </w:p>
        </w:tc>
        <w:tc>
          <w:tcPr>
            <w:tcW w:w="1085" w:type="dxa"/>
            <w:vAlign w:val="center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 (текущий год)</w:t>
            </w:r>
          </w:p>
        </w:tc>
        <w:tc>
          <w:tcPr>
            <w:tcW w:w="1275" w:type="dxa"/>
            <w:vAlign w:val="center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Динамика изменения показателя</w:t>
            </w:r>
          </w:p>
        </w:tc>
      </w:tr>
      <w:tr w:rsidR="000B4A77">
        <w:tc>
          <w:tcPr>
            <w:tcW w:w="690" w:type="dxa"/>
            <w:vAlign w:val="center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9942" w:type="dxa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Показатель средней продолжительности прекращений передачи электрической энергии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7515" cy="246380"/>
                  <wp:effectExtent l="0" t="0" r="635" b="1270"/>
                  <wp:docPr id="12" name="Рисунок 12" descr="base_1_185935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 descr="base_1_185935_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51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1036" w:type="dxa"/>
            <w:vAlign w:val="center"/>
          </w:tcPr>
          <w:p w:rsidR="000B4A77" w:rsidRDefault="005F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vAlign w:val="center"/>
          </w:tcPr>
          <w:p w:rsidR="000B4A77" w:rsidRDefault="005F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A77">
        <w:tc>
          <w:tcPr>
            <w:tcW w:w="690" w:type="dxa"/>
            <w:vAlign w:val="center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</w:t>
            </w:r>
          </w:p>
        </w:tc>
        <w:tc>
          <w:tcPr>
            <w:tcW w:w="9942" w:type="dxa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ВН (110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 выше)</w:t>
            </w:r>
          </w:p>
        </w:tc>
        <w:tc>
          <w:tcPr>
            <w:tcW w:w="1036" w:type="dxa"/>
            <w:vAlign w:val="center"/>
          </w:tcPr>
          <w:p w:rsidR="000B4A77" w:rsidRDefault="005F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vAlign w:val="center"/>
          </w:tcPr>
          <w:p w:rsidR="000B4A77" w:rsidRDefault="005F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4A77">
        <w:tc>
          <w:tcPr>
            <w:tcW w:w="690" w:type="dxa"/>
            <w:vAlign w:val="center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</w:t>
            </w:r>
          </w:p>
        </w:tc>
        <w:tc>
          <w:tcPr>
            <w:tcW w:w="9942" w:type="dxa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СН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(35 - 60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1036" w:type="dxa"/>
            <w:vAlign w:val="center"/>
          </w:tcPr>
          <w:p w:rsidR="000B4A77" w:rsidRDefault="005F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vAlign w:val="center"/>
          </w:tcPr>
          <w:p w:rsidR="000B4A77" w:rsidRDefault="005F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4A77">
        <w:tc>
          <w:tcPr>
            <w:tcW w:w="690" w:type="dxa"/>
            <w:vAlign w:val="center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1.3</w:t>
            </w:r>
          </w:p>
        </w:tc>
        <w:tc>
          <w:tcPr>
            <w:tcW w:w="9942" w:type="dxa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СН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(1 - 20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1036" w:type="dxa"/>
            <w:vAlign w:val="center"/>
          </w:tcPr>
          <w:p w:rsidR="000B4A77" w:rsidRDefault="005F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vAlign w:val="center"/>
          </w:tcPr>
          <w:p w:rsidR="000B4A77" w:rsidRDefault="005F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A77">
        <w:tc>
          <w:tcPr>
            <w:tcW w:w="690" w:type="dxa"/>
            <w:vAlign w:val="center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1.4</w:t>
            </w:r>
          </w:p>
        </w:tc>
        <w:tc>
          <w:tcPr>
            <w:tcW w:w="9942" w:type="dxa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НН (до 1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1036" w:type="dxa"/>
            <w:vAlign w:val="center"/>
          </w:tcPr>
          <w:p w:rsidR="000B4A77" w:rsidRDefault="005F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vAlign w:val="center"/>
          </w:tcPr>
          <w:p w:rsidR="000B4A77" w:rsidRDefault="005F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A77">
        <w:tc>
          <w:tcPr>
            <w:tcW w:w="690" w:type="dxa"/>
            <w:vAlign w:val="center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9942" w:type="dxa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Показатель средней частоты прекращений передачи электрической энергии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29260" cy="246380"/>
                  <wp:effectExtent l="0" t="0" r="8890" b="1270"/>
                  <wp:docPr id="11" name="Рисунок 11" descr="base_1_185935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 descr="base_1_185935_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26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1036" w:type="dxa"/>
            <w:vAlign w:val="center"/>
          </w:tcPr>
          <w:p w:rsidR="000B4A77" w:rsidRDefault="005F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vAlign w:val="center"/>
          </w:tcPr>
          <w:p w:rsidR="000B4A77" w:rsidRDefault="005F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A77">
        <w:tc>
          <w:tcPr>
            <w:tcW w:w="690" w:type="dxa"/>
            <w:vAlign w:val="center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2.1</w:t>
            </w:r>
          </w:p>
        </w:tc>
        <w:tc>
          <w:tcPr>
            <w:tcW w:w="9942" w:type="dxa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ВН (110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 выше)</w:t>
            </w:r>
          </w:p>
        </w:tc>
        <w:tc>
          <w:tcPr>
            <w:tcW w:w="1036" w:type="dxa"/>
            <w:vAlign w:val="center"/>
          </w:tcPr>
          <w:p w:rsidR="000B4A77" w:rsidRDefault="005F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vAlign w:val="center"/>
          </w:tcPr>
          <w:p w:rsidR="000B4A77" w:rsidRDefault="005F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4A77">
        <w:tc>
          <w:tcPr>
            <w:tcW w:w="690" w:type="dxa"/>
            <w:vAlign w:val="center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2.2</w:t>
            </w:r>
          </w:p>
        </w:tc>
        <w:tc>
          <w:tcPr>
            <w:tcW w:w="9942" w:type="dxa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СН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(35 - 60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1036" w:type="dxa"/>
            <w:vAlign w:val="center"/>
          </w:tcPr>
          <w:p w:rsidR="000B4A77" w:rsidRDefault="005F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vAlign w:val="center"/>
          </w:tcPr>
          <w:p w:rsidR="000B4A77" w:rsidRDefault="005F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4A77">
        <w:tc>
          <w:tcPr>
            <w:tcW w:w="690" w:type="dxa"/>
            <w:vAlign w:val="center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2.3</w:t>
            </w:r>
          </w:p>
        </w:tc>
        <w:tc>
          <w:tcPr>
            <w:tcW w:w="9942" w:type="dxa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СН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(1 - 20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1036" w:type="dxa"/>
            <w:vAlign w:val="center"/>
          </w:tcPr>
          <w:p w:rsidR="000B4A77" w:rsidRDefault="005F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vAlign w:val="center"/>
          </w:tcPr>
          <w:p w:rsidR="000B4A77" w:rsidRDefault="005F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A77">
        <w:tc>
          <w:tcPr>
            <w:tcW w:w="690" w:type="dxa"/>
            <w:vAlign w:val="center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2.4</w:t>
            </w:r>
          </w:p>
        </w:tc>
        <w:tc>
          <w:tcPr>
            <w:tcW w:w="9942" w:type="dxa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НН (до 1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1036" w:type="dxa"/>
            <w:vAlign w:val="center"/>
          </w:tcPr>
          <w:p w:rsidR="000B4A77" w:rsidRDefault="005F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vAlign w:val="center"/>
          </w:tcPr>
          <w:p w:rsidR="000B4A77" w:rsidRDefault="005F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A77">
        <w:tc>
          <w:tcPr>
            <w:tcW w:w="690" w:type="dxa"/>
            <w:vAlign w:val="center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9942" w:type="dxa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Показатель средней продолжительности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 (</w:t>
            </w:r>
            <w:r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668020" cy="262255"/>
                  <wp:effectExtent l="0" t="0" r="0" b="4445"/>
                  <wp:docPr id="10" name="Рисунок 10" descr="base_1_185935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base_1_185935_1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02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1036" w:type="dxa"/>
            <w:vAlign w:val="center"/>
          </w:tcPr>
          <w:p w:rsidR="000B4A77" w:rsidRDefault="005F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vAlign w:val="center"/>
          </w:tcPr>
          <w:p w:rsidR="000B4A77" w:rsidRDefault="005F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B4A77" w:rsidRDefault="005F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A77">
        <w:tc>
          <w:tcPr>
            <w:tcW w:w="690" w:type="dxa"/>
            <w:vAlign w:val="center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9942" w:type="dxa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ВН (110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 выше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1036" w:type="dxa"/>
            <w:vAlign w:val="center"/>
          </w:tcPr>
          <w:p w:rsidR="000B4A77" w:rsidRDefault="005F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vAlign w:val="center"/>
          </w:tcPr>
          <w:p w:rsidR="000B4A77" w:rsidRDefault="005F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4A77">
        <w:tc>
          <w:tcPr>
            <w:tcW w:w="690" w:type="dxa"/>
            <w:vAlign w:val="center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3.2</w:t>
            </w:r>
          </w:p>
        </w:tc>
        <w:tc>
          <w:tcPr>
            <w:tcW w:w="9942" w:type="dxa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СН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(35 - 60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1036" w:type="dxa"/>
            <w:vAlign w:val="center"/>
          </w:tcPr>
          <w:p w:rsidR="000B4A77" w:rsidRDefault="005F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vAlign w:val="center"/>
          </w:tcPr>
          <w:p w:rsidR="000B4A77" w:rsidRDefault="005F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4A77">
        <w:tc>
          <w:tcPr>
            <w:tcW w:w="690" w:type="dxa"/>
            <w:vAlign w:val="center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3.3</w:t>
            </w:r>
          </w:p>
        </w:tc>
        <w:tc>
          <w:tcPr>
            <w:tcW w:w="9942" w:type="dxa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СН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(1 - 20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1036" w:type="dxa"/>
            <w:vAlign w:val="center"/>
          </w:tcPr>
          <w:p w:rsidR="000B4A77" w:rsidRDefault="005F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vAlign w:val="center"/>
          </w:tcPr>
          <w:p w:rsidR="000B4A77" w:rsidRDefault="005F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A77">
        <w:tc>
          <w:tcPr>
            <w:tcW w:w="690" w:type="dxa"/>
            <w:vAlign w:val="center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3.4</w:t>
            </w:r>
          </w:p>
        </w:tc>
        <w:tc>
          <w:tcPr>
            <w:tcW w:w="9942" w:type="dxa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НН (до 1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1036" w:type="dxa"/>
            <w:vAlign w:val="center"/>
          </w:tcPr>
          <w:p w:rsidR="000B4A77" w:rsidRDefault="005F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vAlign w:val="center"/>
          </w:tcPr>
          <w:p w:rsidR="000B4A77" w:rsidRDefault="005F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A77">
        <w:tc>
          <w:tcPr>
            <w:tcW w:w="690" w:type="dxa"/>
            <w:vAlign w:val="center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9942" w:type="dxa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организации (смежной сетевой организации, иных владельцев объектов электросетевого хозяйства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 (</w:t>
            </w:r>
            <w:r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668020" cy="262255"/>
                  <wp:effectExtent l="0" t="0" r="0" b="4445"/>
                  <wp:docPr id="9" name="Рисунок 9" descr="base_1_185935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 descr="base_1_185935_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02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1036" w:type="dxa"/>
            <w:vAlign w:val="center"/>
          </w:tcPr>
          <w:p w:rsidR="000B4A77" w:rsidRDefault="005F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vAlign w:val="center"/>
          </w:tcPr>
          <w:p w:rsidR="000B4A77" w:rsidRDefault="005F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B4A77" w:rsidRDefault="005F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A77">
        <w:tc>
          <w:tcPr>
            <w:tcW w:w="690" w:type="dxa"/>
            <w:vAlign w:val="center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4.1</w:t>
            </w:r>
          </w:p>
        </w:tc>
        <w:tc>
          <w:tcPr>
            <w:tcW w:w="9942" w:type="dxa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ВН (110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 выше)</w:t>
            </w:r>
          </w:p>
        </w:tc>
        <w:tc>
          <w:tcPr>
            <w:tcW w:w="1036" w:type="dxa"/>
            <w:vAlign w:val="center"/>
          </w:tcPr>
          <w:p w:rsidR="000B4A77" w:rsidRDefault="005F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vAlign w:val="center"/>
          </w:tcPr>
          <w:p w:rsidR="000B4A77" w:rsidRDefault="005F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4A77">
        <w:tc>
          <w:tcPr>
            <w:tcW w:w="690" w:type="dxa"/>
            <w:vAlign w:val="center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4.2</w:t>
            </w:r>
          </w:p>
        </w:tc>
        <w:tc>
          <w:tcPr>
            <w:tcW w:w="9942" w:type="dxa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СН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(35 - 60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1036" w:type="dxa"/>
            <w:vAlign w:val="center"/>
          </w:tcPr>
          <w:p w:rsidR="000B4A77" w:rsidRDefault="005F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vAlign w:val="center"/>
          </w:tcPr>
          <w:p w:rsidR="000B4A77" w:rsidRDefault="005F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4A77">
        <w:tc>
          <w:tcPr>
            <w:tcW w:w="690" w:type="dxa"/>
            <w:vAlign w:val="center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4.3</w:t>
            </w:r>
          </w:p>
        </w:tc>
        <w:tc>
          <w:tcPr>
            <w:tcW w:w="9942" w:type="dxa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СН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(1 - 20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1036" w:type="dxa"/>
            <w:vAlign w:val="center"/>
          </w:tcPr>
          <w:p w:rsidR="000B4A77" w:rsidRDefault="005F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vAlign w:val="center"/>
          </w:tcPr>
          <w:p w:rsidR="000B4A77" w:rsidRDefault="005F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A77">
        <w:tc>
          <w:tcPr>
            <w:tcW w:w="690" w:type="dxa"/>
            <w:vAlign w:val="center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4.4</w:t>
            </w:r>
          </w:p>
        </w:tc>
        <w:tc>
          <w:tcPr>
            <w:tcW w:w="9942" w:type="dxa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НН (до 1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1036" w:type="dxa"/>
            <w:vAlign w:val="center"/>
          </w:tcPr>
          <w:p w:rsidR="000B4A77" w:rsidRDefault="005F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vAlign w:val="center"/>
          </w:tcPr>
          <w:p w:rsidR="000B4A77" w:rsidRDefault="005F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A77">
        <w:tc>
          <w:tcPr>
            <w:tcW w:w="690" w:type="dxa"/>
            <w:vAlign w:val="center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9942" w:type="dxa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Количество случаев нарушения качества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электрической энергии, подтвержденных актами контролирующих организаций и (или) решениями суда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шт.</w:t>
            </w:r>
          </w:p>
        </w:tc>
        <w:tc>
          <w:tcPr>
            <w:tcW w:w="1036" w:type="dxa"/>
            <w:vAlign w:val="center"/>
          </w:tcPr>
          <w:p w:rsidR="000B4A77" w:rsidRDefault="005F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vAlign w:val="center"/>
          </w:tcPr>
          <w:p w:rsidR="000B4A77" w:rsidRDefault="005F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A77">
        <w:tc>
          <w:tcPr>
            <w:tcW w:w="690" w:type="dxa"/>
            <w:vAlign w:val="center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5.1</w:t>
            </w:r>
          </w:p>
        </w:tc>
        <w:tc>
          <w:tcPr>
            <w:tcW w:w="9942" w:type="dxa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шт. </w:t>
            </w:r>
          </w:p>
        </w:tc>
        <w:tc>
          <w:tcPr>
            <w:tcW w:w="1036" w:type="dxa"/>
            <w:vAlign w:val="center"/>
          </w:tcPr>
          <w:p w:rsidR="000B4A77" w:rsidRDefault="005F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vAlign w:val="center"/>
          </w:tcPr>
          <w:p w:rsidR="000B4A77" w:rsidRDefault="005F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B4A77" w:rsidRDefault="000B4A77">
      <w:pPr>
        <w:rPr>
          <w:rFonts w:ascii="Times New Roman" w:hAnsi="Times New Roman" w:cs="Times New Roman"/>
          <w:b/>
          <w:sz w:val="26"/>
          <w:szCs w:val="26"/>
        </w:rPr>
      </w:pPr>
      <w:bookmarkStart w:id="7" w:name="_Toc4759826"/>
    </w:p>
    <w:p w:rsidR="000B4A77" w:rsidRDefault="000B4A77">
      <w:pPr>
        <w:rPr>
          <w:rFonts w:ascii="Times New Roman" w:hAnsi="Times New Roman" w:cs="Times New Roman"/>
          <w:b/>
          <w:sz w:val="26"/>
          <w:szCs w:val="26"/>
        </w:rPr>
      </w:pPr>
    </w:p>
    <w:p w:rsidR="000B4A77" w:rsidRDefault="000B4A77">
      <w:pPr>
        <w:rPr>
          <w:rFonts w:ascii="Times New Roman" w:hAnsi="Times New Roman" w:cs="Times New Roman"/>
          <w:b/>
          <w:sz w:val="26"/>
          <w:szCs w:val="26"/>
        </w:rPr>
      </w:pPr>
    </w:p>
    <w:p w:rsidR="000B4A77" w:rsidRDefault="000B4A77">
      <w:pPr>
        <w:rPr>
          <w:rFonts w:ascii="Times New Roman" w:hAnsi="Times New Roman" w:cs="Times New Roman"/>
          <w:b/>
          <w:sz w:val="26"/>
          <w:szCs w:val="26"/>
        </w:rPr>
      </w:pPr>
    </w:p>
    <w:p w:rsidR="000B4A77" w:rsidRDefault="000B4A77">
      <w:pPr>
        <w:rPr>
          <w:rFonts w:ascii="Times New Roman" w:hAnsi="Times New Roman" w:cs="Times New Roman"/>
          <w:b/>
          <w:sz w:val="26"/>
          <w:szCs w:val="26"/>
        </w:rPr>
      </w:pPr>
    </w:p>
    <w:p w:rsidR="000B4A77" w:rsidRDefault="000B4A77">
      <w:pPr>
        <w:rPr>
          <w:rFonts w:ascii="Times New Roman" w:hAnsi="Times New Roman" w:cs="Times New Roman"/>
          <w:b/>
          <w:sz w:val="26"/>
          <w:szCs w:val="26"/>
        </w:rPr>
      </w:pPr>
    </w:p>
    <w:p w:rsidR="000B4A77" w:rsidRDefault="005F01DE">
      <w:pPr>
        <w:jc w:val="both"/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lastRenderedPageBreak/>
        <w:t>2</w:t>
      </w:r>
      <w:r>
        <w:rPr>
          <w:rFonts w:ascii="Times New Roman" w:eastAsiaTheme="majorEastAsia" w:hAnsi="Times New Roman" w:cs="Times New Roman"/>
          <w:b/>
          <w:bCs/>
        </w:rPr>
        <w:t xml:space="preserve">.2. Рейтинг структурных единиц сетевой организации по качеству </w:t>
      </w:r>
      <w:r>
        <w:rPr>
          <w:rFonts w:ascii="Times New Roman" w:eastAsiaTheme="majorEastAsia" w:hAnsi="Times New Roman" w:cs="Times New Roman"/>
          <w:b/>
          <w:bCs/>
        </w:rPr>
        <w:t>оказания услуг по передаче электрической энергии, а также по качеству электрической энергии в отчетном периоде.</w:t>
      </w:r>
      <w:bookmarkEnd w:id="7"/>
    </w:p>
    <w:p w:rsidR="000B4A77" w:rsidRDefault="000B4A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513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3"/>
        <w:gridCol w:w="1649"/>
        <w:gridCol w:w="553"/>
        <w:gridCol w:w="554"/>
        <w:gridCol w:w="554"/>
        <w:gridCol w:w="553"/>
        <w:gridCol w:w="554"/>
        <w:gridCol w:w="554"/>
        <w:gridCol w:w="553"/>
        <w:gridCol w:w="554"/>
        <w:gridCol w:w="554"/>
        <w:gridCol w:w="553"/>
        <w:gridCol w:w="594"/>
        <w:gridCol w:w="514"/>
        <w:gridCol w:w="553"/>
        <w:gridCol w:w="554"/>
        <w:gridCol w:w="554"/>
        <w:gridCol w:w="518"/>
        <w:gridCol w:w="2527"/>
        <w:gridCol w:w="1694"/>
      </w:tblGrid>
      <w:tr w:rsidR="000B4A77">
        <w:tc>
          <w:tcPr>
            <w:tcW w:w="443" w:type="dxa"/>
            <w:vMerge w:val="restart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649" w:type="dxa"/>
            <w:vMerge w:val="restart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Структурная единица сетевой организации </w:t>
            </w:r>
          </w:p>
        </w:tc>
        <w:tc>
          <w:tcPr>
            <w:tcW w:w="2214" w:type="dxa"/>
            <w:gridSpan w:val="4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средней продолжительности прекращений передачи электрической энергии,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437515" cy="246380"/>
                  <wp:effectExtent l="0" t="0" r="635" b="1270"/>
                  <wp:docPr id="6" name="Рисунок 6" descr="base_1_185935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base_1_185935_1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51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15" w:type="dxa"/>
            <w:gridSpan w:val="4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Показатель средней частоты прекращений передачи электрической энергии,⃰ </w: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429260" cy="246380"/>
                  <wp:effectExtent l="0" t="0" r="8890" b="1270"/>
                  <wp:docPr id="5" name="Рисунок 5" descr="base_1_185935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base_1_185935_1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26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15" w:type="dxa"/>
            <w:gridSpan w:val="4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межной сетевой организации, иных владельцев объектов электросетевого хозяйства),</w:t>
            </w:r>
          </w:p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668020" cy="262255"/>
                  <wp:effectExtent l="0" t="0" r="0" b="4445"/>
                  <wp:docPr id="4" name="Рисунок 4" descr="base_1_185935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base_1_185935_1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02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179" w:type="dxa"/>
            <w:gridSpan w:val="4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ежной сетевой организации, иных владельцев объектов электросетевого хозяйства),</w:t>
            </w:r>
          </w:p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668020" cy="262255"/>
                  <wp:effectExtent l="0" t="0" r="0" b="4445"/>
                  <wp:docPr id="3" name="Рисунок 3" descr="base_1_185935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base_1_185935_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02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527" w:type="dxa"/>
            <w:vMerge w:val="restart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качества оказания услуг по передаче электрической энергии (отношение общего числа зарегистрированных случаев нарушение качества электрической энергии по вине сете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вой организации к максимальному количеству потребителей, обслуживаемых такой структурной единицей сетевой организации в отчетном периоде)</w:t>
            </w:r>
          </w:p>
        </w:tc>
        <w:tc>
          <w:tcPr>
            <w:tcW w:w="1694" w:type="dxa"/>
            <w:vMerge w:val="restart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Планируемые мероприятия, направленные на повышение качества оказания услуг по передаче электроэнергии, с указанием сро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ков</w:t>
            </w:r>
          </w:p>
        </w:tc>
      </w:tr>
      <w:tr w:rsidR="000B4A77">
        <w:tc>
          <w:tcPr>
            <w:tcW w:w="443" w:type="dxa"/>
            <w:vMerge/>
          </w:tcPr>
          <w:p w:rsidR="000B4A77" w:rsidRDefault="000B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vMerge/>
          </w:tcPr>
          <w:p w:rsidR="000B4A77" w:rsidRDefault="000B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</w:t>
            </w:r>
          </w:p>
        </w:tc>
        <w:tc>
          <w:tcPr>
            <w:tcW w:w="554" w:type="dxa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554" w:type="dxa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553" w:type="dxa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НН</w:t>
            </w:r>
          </w:p>
        </w:tc>
        <w:tc>
          <w:tcPr>
            <w:tcW w:w="554" w:type="dxa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</w:t>
            </w:r>
          </w:p>
        </w:tc>
        <w:tc>
          <w:tcPr>
            <w:tcW w:w="554" w:type="dxa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553" w:type="dxa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554" w:type="dxa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НН</w:t>
            </w:r>
          </w:p>
        </w:tc>
        <w:tc>
          <w:tcPr>
            <w:tcW w:w="554" w:type="dxa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</w:t>
            </w:r>
          </w:p>
        </w:tc>
        <w:tc>
          <w:tcPr>
            <w:tcW w:w="553" w:type="dxa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594" w:type="dxa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514" w:type="dxa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НН</w:t>
            </w:r>
          </w:p>
        </w:tc>
        <w:tc>
          <w:tcPr>
            <w:tcW w:w="553" w:type="dxa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</w:t>
            </w:r>
          </w:p>
        </w:tc>
        <w:tc>
          <w:tcPr>
            <w:tcW w:w="554" w:type="dxa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554" w:type="dxa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518" w:type="dxa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НН</w:t>
            </w:r>
          </w:p>
        </w:tc>
        <w:tc>
          <w:tcPr>
            <w:tcW w:w="2527" w:type="dxa"/>
            <w:vMerge/>
          </w:tcPr>
          <w:p w:rsidR="000B4A77" w:rsidRDefault="000B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</w:tcPr>
          <w:p w:rsidR="000B4A77" w:rsidRDefault="000B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4A77">
        <w:trPr>
          <w:trHeight w:val="362"/>
        </w:trPr>
        <w:tc>
          <w:tcPr>
            <w:tcW w:w="443" w:type="dxa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9" w:type="dxa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3" w:type="dxa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54" w:type="dxa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4" w:type="dxa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53" w:type="dxa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54" w:type="dxa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54" w:type="dxa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53" w:type="dxa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54" w:type="dxa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54" w:type="dxa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53" w:type="dxa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94" w:type="dxa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14" w:type="dxa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53" w:type="dxa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54" w:type="dxa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54" w:type="dxa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18" w:type="dxa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527" w:type="dxa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694" w:type="dxa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0B4A77">
        <w:tc>
          <w:tcPr>
            <w:tcW w:w="443" w:type="dxa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649" w:type="dxa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«Ставропольская электросеть»</w:t>
            </w:r>
          </w:p>
        </w:tc>
        <w:tc>
          <w:tcPr>
            <w:tcW w:w="553" w:type="dxa"/>
            <w:vAlign w:val="center"/>
          </w:tcPr>
          <w:p w:rsidR="000B4A77" w:rsidRDefault="005F01DE">
            <w:pPr>
              <w:pStyle w:val="ConsPlusNormal"/>
              <w:ind w:left="-27"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vAlign w:val="center"/>
          </w:tcPr>
          <w:p w:rsidR="000B4A77" w:rsidRDefault="005F01DE">
            <w:pPr>
              <w:pStyle w:val="ConsPlusNormal"/>
              <w:ind w:left="-27"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vAlign w:val="center"/>
          </w:tcPr>
          <w:p w:rsidR="000B4A77" w:rsidRDefault="005F01DE">
            <w:pPr>
              <w:pStyle w:val="ConsPlusNormal"/>
              <w:ind w:left="-27"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3" w:type="dxa"/>
            <w:vAlign w:val="center"/>
          </w:tcPr>
          <w:p w:rsidR="000B4A77" w:rsidRDefault="005F01DE">
            <w:pPr>
              <w:pStyle w:val="ConsPlusNormal"/>
              <w:ind w:left="-27"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vAlign w:val="center"/>
          </w:tcPr>
          <w:p w:rsidR="000B4A77" w:rsidRDefault="005F01DE">
            <w:pPr>
              <w:pStyle w:val="ConsPlusNormal"/>
              <w:ind w:left="-27"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vAlign w:val="center"/>
          </w:tcPr>
          <w:p w:rsidR="000B4A77" w:rsidRDefault="005F01DE">
            <w:pPr>
              <w:pStyle w:val="ConsPlusNormal"/>
              <w:ind w:left="-27"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3" w:type="dxa"/>
            <w:vAlign w:val="center"/>
          </w:tcPr>
          <w:p w:rsidR="000B4A77" w:rsidRDefault="005F01DE">
            <w:pPr>
              <w:pStyle w:val="ConsPlusNormal"/>
              <w:ind w:left="-27"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vAlign w:val="center"/>
          </w:tcPr>
          <w:p w:rsidR="000B4A77" w:rsidRDefault="005F01DE">
            <w:pPr>
              <w:pStyle w:val="ConsPlusNormal"/>
              <w:ind w:left="-27"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vAlign w:val="center"/>
          </w:tcPr>
          <w:p w:rsidR="000B4A77" w:rsidRDefault="005F01DE">
            <w:pPr>
              <w:pStyle w:val="ConsPlusNormal"/>
              <w:ind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3" w:type="dxa"/>
            <w:vAlign w:val="center"/>
          </w:tcPr>
          <w:p w:rsidR="000B4A77" w:rsidRDefault="005F01DE">
            <w:pPr>
              <w:pStyle w:val="ConsPlusNormal"/>
              <w:ind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vAlign w:val="center"/>
          </w:tcPr>
          <w:p w:rsidR="000B4A77" w:rsidRDefault="005F01DE">
            <w:pPr>
              <w:pStyle w:val="ConsPlusNormal"/>
              <w:ind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4" w:type="dxa"/>
            <w:vAlign w:val="center"/>
          </w:tcPr>
          <w:p w:rsidR="000B4A77" w:rsidRDefault="005F01DE">
            <w:pPr>
              <w:pStyle w:val="ConsPlusNormal"/>
              <w:ind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3" w:type="dxa"/>
            <w:vAlign w:val="center"/>
          </w:tcPr>
          <w:p w:rsidR="000B4A77" w:rsidRDefault="005F01DE">
            <w:pPr>
              <w:pStyle w:val="ConsPlusNormal"/>
              <w:ind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vAlign w:val="center"/>
          </w:tcPr>
          <w:p w:rsidR="000B4A77" w:rsidRDefault="005F01DE">
            <w:pPr>
              <w:pStyle w:val="ConsPlusNormal"/>
              <w:ind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vAlign w:val="center"/>
          </w:tcPr>
          <w:p w:rsidR="000B4A77" w:rsidRDefault="005F01DE">
            <w:pPr>
              <w:pStyle w:val="ConsPlusNormal"/>
              <w:ind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8" w:type="dxa"/>
            <w:vAlign w:val="center"/>
          </w:tcPr>
          <w:p w:rsidR="000B4A77" w:rsidRDefault="005F01DE">
            <w:pPr>
              <w:pStyle w:val="ConsPlusNormal"/>
              <w:ind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27" w:type="dxa"/>
            <w:vAlign w:val="center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94" w:type="dxa"/>
            <w:vAlign w:val="center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0B4A77" w:rsidRDefault="005F01DE">
      <w:pPr>
        <w:keepNext/>
        <w:keepLines/>
        <w:spacing w:before="200" w:after="0"/>
        <w:jc w:val="both"/>
        <w:outlineLvl w:val="1"/>
        <w:rPr>
          <w:rFonts w:ascii="Times New Roman" w:eastAsiaTheme="majorEastAsia" w:hAnsi="Times New Roman" w:cs="Times New Roman"/>
          <w:b/>
          <w:bCs/>
        </w:rPr>
      </w:pPr>
      <w:bookmarkStart w:id="8" w:name="_Toc4759827"/>
      <w:r>
        <w:rPr>
          <w:rFonts w:ascii="Times New Roman" w:eastAsiaTheme="majorEastAsia" w:hAnsi="Times New Roman" w:cs="Times New Roman"/>
          <w:b/>
          <w:bCs/>
        </w:rPr>
        <w:t xml:space="preserve">2.3. Мероприятия, выполненные сетевой организацией в целях </w:t>
      </w:r>
      <w:r>
        <w:rPr>
          <w:rFonts w:ascii="Times New Roman" w:eastAsiaTheme="majorEastAsia" w:hAnsi="Times New Roman" w:cs="Times New Roman"/>
          <w:b/>
          <w:bCs/>
        </w:rPr>
        <w:t>повышения качества оказания услуг по передаче электрической энергии в отчетном периоде.</w:t>
      </w:r>
      <w:bookmarkEnd w:id="8"/>
    </w:p>
    <w:p w:rsidR="000B4A77" w:rsidRDefault="005F01DE">
      <w:pPr>
        <w:keepNext/>
        <w:keepLines/>
        <w:spacing w:before="200" w:after="0"/>
        <w:jc w:val="both"/>
        <w:outlineLvl w:val="1"/>
        <w:rPr>
          <w:rFonts w:ascii="Times New Roman" w:eastAsiaTheme="majorEastAsia" w:hAnsi="Times New Roman" w:cs="Times New Roman"/>
          <w:bCs/>
        </w:rPr>
      </w:pPr>
      <w:bookmarkStart w:id="9" w:name="_Toc4759828"/>
      <w:r>
        <w:rPr>
          <w:rFonts w:ascii="Times New Roman" w:eastAsiaTheme="majorEastAsia" w:hAnsi="Times New Roman" w:cs="Times New Roman"/>
          <w:bCs/>
        </w:rPr>
        <w:t>Ежегодно производится капитальный и текущий ремонт электросетевого хозяйства.</w:t>
      </w:r>
    </w:p>
    <w:p w:rsidR="000B4A77" w:rsidRDefault="005F01DE">
      <w:pPr>
        <w:keepNext/>
        <w:keepLines/>
        <w:spacing w:before="200" w:after="0"/>
        <w:jc w:val="both"/>
        <w:outlineLvl w:val="1"/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eastAsiaTheme="majorEastAsia" w:hAnsi="Times New Roman" w:cs="Times New Roman"/>
          <w:b/>
          <w:bCs/>
        </w:rPr>
        <w:t>2.4. Прочая информация, которую сетевая организация считает целесообразной для включения в</w:t>
      </w:r>
      <w:r>
        <w:rPr>
          <w:rFonts w:ascii="Times New Roman" w:eastAsiaTheme="majorEastAsia" w:hAnsi="Times New Roman" w:cs="Times New Roman"/>
          <w:b/>
          <w:bCs/>
        </w:rPr>
        <w:t xml:space="preserve"> отчет, касающаяся качества оказания услуг по передаче электрической энергии, заполняется в произвольной форме.</w:t>
      </w:r>
      <w:bookmarkEnd w:id="9"/>
    </w:p>
    <w:p w:rsidR="000B4A77" w:rsidRDefault="005F01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Прочая информация отсутствует.</w:t>
      </w:r>
    </w:p>
    <w:p w:rsidR="000B4A77" w:rsidRDefault="000B4A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B4A77" w:rsidRDefault="005F01DE">
      <w:pPr>
        <w:keepNext/>
        <w:keepLines/>
        <w:spacing w:before="480" w:after="0"/>
        <w:jc w:val="both"/>
        <w:outlineLvl w:val="0"/>
        <w:rPr>
          <w:rFonts w:ascii="Times New Roman" w:eastAsiaTheme="majorEastAsia" w:hAnsi="Times New Roman" w:cs="Times New Roman"/>
          <w:b/>
          <w:bCs/>
        </w:rPr>
      </w:pPr>
      <w:bookmarkStart w:id="10" w:name="_Toc4759829"/>
      <w:r>
        <w:rPr>
          <w:rFonts w:ascii="Times New Roman" w:eastAsiaTheme="majorEastAsia" w:hAnsi="Times New Roman" w:cs="Times New Roman"/>
          <w:b/>
          <w:bCs/>
        </w:rPr>
        <w:lastRenderedPageBreak/>
        <w:t>3. Информация о качестве услуг по технологическому присоединению</w:t>
      </w:r>
      <w:bookmarkEnd w:id="10"/>
    </w:p>
    <w:p w:rsidR="000B4A77" w:rsidRDefault="005F01DE">
      <w:pPr>
        <w:keepNext/>
        <w:keepLines/>
        <w:spacing w:before="200" w:after="0"/>
        <w:jc w:val="both"/>
        <w:outlineLvl w:val="1"/>
        <w:rPr>
          <w:rFonts w:ascii="Times New Roman" w:eastAsiaTheme="majorEastAsia" w:hAnsi="Times New Roman" w:cs="Times New Roman"/>
          <w:b/>
          <w:bCs/>
        </w:rPr>
      </w:pPr>
      <w:bookmarkStart w:id="11" w:name="_Toc4759830"/>
      <w:r>
        <w:rPr>
          <w:rFonts w:ascii="Times New Roman" w:eastAsiaTheme="majorEastAsia" w:hAnsi="Times New Roman" w:cs="Times New Roman"/>
          <w:b/>
          <w:bCs/>
        </w:rPr>
        <w:t xml:space="preserve">3.1. Информация о наличии невостребованной </w:t>
      </w:r>
      <w:r>
        <w:rPr>
          <w:rFonts w:ascii="Times New Roman" w:eastAsiaTheme="majorEastAsia" w:hAnsi="Times New Roman" w:cs="Times New Roman"/>
          <w:b/>
          <w:bCs/>
        </w:rPr>
        <w:t>мощности для осуществления технологического присоединения в отчетном периоде, а также о прогнозах ее увеличения.</w:t>
      </w:r>
      <w:bookmarkEnd w:id="11"/>
    </w:p>
    <w:p w:rsidR="000B4A77" w:rsidRDefault="000B4A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B4A77" w:rsidRDefault="005F01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Информация о наличии невостребованной мощности для осуществления технологического присоединения располагается на официальном сайте ООО «Ставро</w:t>
      </w:r>
      <w:r>
        <w:rPr>
          <w:rFonts w:ascii="Times New Roman" w:eastAsia="Times New Roman" w:hAnsi="Times New Roman" w:cs="Times New Roman"/>
          <w:lang w:eastAsia="ru-RU"/>
        </w:rPr>
        <w:t xml:space="preserve">польская электросеть» по адресу: </w:t>
      </w:r>
      <w:hyperlink r:id="rId13" w:history="1">
        <w:r>
          <w:rPr>
            <w:rStyle w:val="ad"/>
            <w:rFonts w:ascii="Times New Roman" w:eastAsia="Times New Roman" w:hAnsi="Times New Roman" w:cs="Times New Roman"/>
            <w:lang w:eastAsia="ru-RU"/>
          </w:rPr>
          <w:t>http://stavrelektro.ru/2019.html</w:t>
        </w:r>
      </w:hyperlink>
      <w:r>
        <w:rPr>
          <w:rFonts w:ascii="Times New Roman" w:eastAsia="Times New Roman" w:hAnsi="Times New Roman" w:cs="Times New Roman"/>
          <w:lang w:eastAsia="ru-RU"/>
        </w:rPr>
        <w:t>.</w:t>
      </w:r>
    </w:p>
    <w:p w:rsidR="000B4A77" w:rsidRDefault="000B4A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B4A77" w:rsidRDefault="005F01DE">
      <w:pPr>
        <w:keepNext/>
        <w:keepLines/>
        <w:spacing w:before="200" w:after="0"/>
        <w:jc w:val="both"/>
        <w:outlineLvl w:val="1"/>
        <w:rPr>
          <w:rFonts w:ascii="Times New Roman" w:eastAsiaTheme="majorEastAsia" w:hAnsi="Times New Roman" w:cs="Times New Roman"/>
          <w:b/>
          <w:bCs/>
        </w:rPr>
      </w:pPr>
      <w:bookmarkStart w:id="12" w:name="_Toc4759831"/>
      <w:r>
        <w:rPr>
          <w:rFonts w:ascii="Times New Roman" w:eastAsiaTheme="majorEastAsia" w:hAnsi="Times New Roman" w:cs="Times New Roman"/>
          <w:b/>
          <w:bCs/>
        </w:rPr>
        <w:t>3.2. Мероприятия, выполненные сетевой организацией в целях совершенствования деятельности по технологическому присоединению в 2019году.</w:t>
      </w:r>
      <w:bookmarkEnd w:id="12"/>
    </w:p>
    <w:p w:rsidR="000B4A77" w:rsidRDefault="000B4A77">
      <w:pPr>
        <w:keepNext/>
        <w:keepLines/>
        <w:spacing w:after="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13" w:name="_Toc4759832"/>
    </w:p>
    <w:p w:rsidR="000B4A77" w:rsidRDefault="005F01DE">
      <w:pPr>
        <w:keepNext/>
        <w:keepLines/>
        <w:spacing w:after="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lang w:eastAsia="ru-RU"/>
        </w:rPr>
        <w:t>возможность подачи заявки на технологическое присоединение сторонних потребителей в электронной форме;</w:t>
      </w:r>
    </w:p>
    <w:p w:rsidR="000B4A77" w:rsidRDefault="005F01DE">
      <w:pPr>
        <w:keepNext/>
        <w:keepLines/>
        <w:spacing w:after="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повышена квалификация персонала</w:t>
      </w:r>
    </w:p>
    <w:p w:rsidR="000B4A77" w:rsidRDefault="000B4A77">
      <w:pPr>
        <w:keepNext/>
        <w:keepLines/>
        <w:spacing w:after="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0B4A77" w:rsidRDefault="005F01DE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eastAsiaTheme="majorEastAsia" w:hAnsi="Times New Roman" w:cs="Times New Roman"/>
          <w:b/>
          <w:bCs/>
        </w:rPr>
        <w:t>3.3. Прочая информация, которую сетевая организация считает целесообразной для включения в отчет, касающаяся предостав</w:t>
      </w:r>
      <w:r>
        <w:rPr>
          <w:rFonts w:ascii="Times New Roman" w:eastAsiaTheme="majorEastAsia" w:hAnsi="Times New Roman" w:cs="Times New Roman"/>
          <w:b/>
          <w:bCs/>
        </w:rPr>
        <w:t>ления услуг по технологическому присоединению.</w:t>
      </w:r>
      <w:bookmarkEnd w:id="13"/>
    </w:p>
    <w:p w:rsidR="000B4A77" w:rsidRDefault="000B4A77">
      <w:pPr>
        <w:keepNext/>
        <w:keepLines/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0B4A77" w:rsidRDefault="005F01DE">
      <w:pPr>
        <w:keepNext/>
        <w:keepLines/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Прочая информация, которую сетевая организация считает целесообразной для включения в отчет, касающаяся предоставления услуг по технологиче</w:t>
      </w:r>
      <w:bookmarkStart w:id="14" w:name="_Toc4759833"/>
      <w:r>
        <w:rPr>
          <w:rFonts w:ascii="Times New Roman" w:eastAsia="Times New Roman" w:hAnsi="Times New Roman" w:cs="Times New Roman"/>
          <w:lang w:eastAsia="ru-RU"/>
        </w:rPr>
        <w:t>скому присоединению отсутствует.</w:t>
      </w:r>
    </w:p>
    <w:p w:rsidR="000B4A77" w:rsidRDefault="000B4A77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</w:rPr>
      </w:pPr>
    </w:p>
    <w:p w:rsidR="000B4A77" w:rsidRDefault="000B4A77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</w:rPr>
      </w:pPr>
    </w:p>
    <w:p w:rsidR="000B4A77" w:rsidRDefault="000B4A77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</w:rPr>
      </w:pPr>
    </w:p>
    <w:p w:rsidR="000B4A77" w:rsidRDefault="000B4A77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</w:rPr>
      </w:pPr>
    </w:p>
    <w:p w:rsidR="000B4A77" w:rsidRDefault="000B4A77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</w:rPr>
      </w:pPr>
    </w:p>
    <w:p w:rsidR="000B4A77" w:rsidRDefault="000B4A77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</w:rPr>
      </w:pPr>
    </w:p>
    <w:p w:rsidR="000B4A77" w:rsidRDefault="000B4A77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</w:rPr>
      </w:pPr>
    </w:p>
    <w:p w:rsidR="000B4A77" w:rsidRDefault="000B4A77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</w:rPr>
      </w:pPr>
    </w:p>
    <w:p w:rsidR="000B4A77" w:rsidRDefault="000B4A77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</w:rPr>
      </w:pPr>
    </w:p>
    <w:p w:rsidR="000B4A77" w:rsidRDefault="000B4A77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</w:rPr>
      </w:pPr>
    </w:p>
    <w:p w:rsidR="000B4A77" w:rsidRDefault="000B4A77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</w:rPr>
      </w:pPr>
    </w:p>
    <w:p w:rsidR="000B4A77" w:rsidRDefault="000B4A77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</w:rPr>
      </w:pPr>
    </w:p>
    <w:p w:rsidR="000B4A77" w:rsidRDefault="005F01DE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eastAsiaTheme="majorEastAsia" w:hAnsi="Times New Roman" w:cs="Times New Roman"/>
          <w:b/>
          <w:bCs/>
        </w:rPr>
        <w:t>3.4. Сведения о качестве</w:t>
      </w:r>
      <w:r>
        <w:rPr>
          <w:rFonts w:ascii="Times New Roman" w:eastAsiaTheme="majorEastAsia" w:hAnsi="Times New Roman" w:cs="Times New Roman"/>
          <w:b/>
          <w:bCs/>
        </w:rPr>
        <w:t xml:space="preserve"> услуг по технологическому присоединению к электрическим сетям</w:t>
      </w:r>
      <w:bookmarkEnd w:id="14"/>
    </w:p>
    <w:p w:rsidR="000B4A77" w:rsidRDefault="000B4A77">
      <w:pPr>
        <w:keepNext/>
        <w:keepLines/>
        <w:spacing w:after="0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0B4A77" w:rsidRDefault="000B4A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562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6"/>
        <w:gridCol w:w="2519"/>
        <w:gridCol w:w="740"/>
        <w:gridCol w:w="709"/>
        <w:gridCol w:w="851"/>
        <w:gridCol w:w="567"/>
        <w:gridCol w:w="708"/>
        <w:gridCol w:w="851"/>
        <w:gridCol w:w="567"/>
        <w:gridCol w:w="567"/>
        <w:gridCol w:w="850"/>
        <w:gridCol w:w="709"/>
        <w:gridCol w:w="498"/>
        <w:gridCol w:w="778"/>
        <w:gridCol w:w="698"/>
        <w:gridCol w:w="541"/>
        <w:gridCol w:w="745"/>
        <w:gridCol w:w="851"/>
        <w:gridCol w:w="709"/>
        <w:gridCol w:w="708"/>
      </w:tblGrid>
      <w:tr w:rsidR="000B4A77">
        <w:trPr>
          <w:trHeight w:val="300"/>
          <w:tblHeader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N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Показатель</w:t>
            </w:r>
          </w:p>
        </w:tc>
        <w:tc>
          <w:tcPr>
            <w:tcW w:w="103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Категория присоединения потребителей услуг по передаче электрической энергии в разбивке по мощности, в динамике по годам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Всего</w:t>
            </w:r>
          </w:p>
        </w:tc>
      </w:tr>
      <w:tr w:rsidR="000B4A77">
        <w:trPr>
          <w:trHeight w:val="300"/>
          <w:tblHeader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77" w:rsidRDefault="000B4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77" w:rsidRDefault="000B4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 15 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Вт вкл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ючительно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свыше 15 кВт и до 150 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Вт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вкл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ючительно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свыше 150 кВт и менее 670 кВт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не менее 670 кВт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объекты по производству электрической энергии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77" w:rsidRDefault="000B4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B4A77">
        <w:trPr>
          <w:trHeight w:val="708"/>
          <w:tblHeader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77" w:rsidRDefault="000B4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77" w:rsidRDefault="000B4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Динамика изменения показателя,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Динамика изменения показателя,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2018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Динамика изменения показателя, %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2018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Динамика изменения показателя,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Динамика изменения показателя, %</w:t>
            </w:r>
          </w:p>
        </w:tc>
      </w:tr>
      <w:tr w:rsidR="000B4A77">
        <w:trPr>
          <w:trHeight w:val="300"/>
          <w:tblHeader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</w:tr>
      <w:tr w:rsidR="000B4A7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Число заявок на технологическое присоединение, поданных заявителями, штуки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8F613C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8F613C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91,81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0B4A77">
        <w:trPr>
          <w:trHeight w:val="12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штуки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8F613C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8F613C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91,81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0B4A77">
        <w:trPr>
          <w:trHeight w:val="18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Число заявок на технологическое присоединение, по которым направлен проект договора об осуществлении технологического присоединения к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электрическим сетям с нарушением сроков, подтвержденным актами контролирующих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организаций и (или) решениями суда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штуки, в том числе: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0B4A77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3.1.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вине сетевой организации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0B4A77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вине сторонних лиц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0B4A77">
        <w:trPr>
          <w:trHeight w:val="9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Средняя продолжительность подготовки и направления проекта договора об осуществлении технологического присоединения к электрическим сетям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дней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0B4A77">
        <w:trPr>
          <w:trHeight w:val="9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Число заключенных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8F613C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8F613C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91,81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0B4A77">
        <w:trPr>
          <w:trHeight w:val="9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Число исполненных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8F613C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8F613C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91,81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0B4A77">
        <w:trPr>
          <w:trHeight w:val="15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Число исполненных договоров об осуществлении технологического присоединения к электрическим сетям, по которым произошло нарушение сроков, подтвержденное актами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контролирующих организаций и (или) решениями суда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штуки, в том числе: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0B4A77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7.1.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вине сетевой организации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0B4A77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7.2.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вине заявителя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0B4A77">
        <w:trPr>
          <w:trHeight w:val="9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Средняя продолжительность исполнения договоров об осуществлении технологического присоединения к электрическим сетям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дней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</w:tbl>
    <w:p w:rsidR="000B4A77" w:rsidRDefault="000B4A77">
      <w:pPr>
        <w:rPr>
          <w:rFonts w:ascii="Times New Roman" w:hAnsi="Times New Roman" w:cs="Times New Roman"/>
          <w:sz w:val="21"/>
          <w:szCs w:val="21"/>
        </w:rPr>
        <w:sectPr w:rsidR="000B4A77">
          <w:footerReference w:type="default" r:id="rId14"/>
          <w:footnotePr>
            <w:numFmt w:val="chicago"/>
            <w:numRestart w:val="eachPage"/>
          </w:footnotePr>
          <w:pgSz w:w="16838" w:h="11905" w:orient="landscape"/>
          <w:pgMar w:top="850" w:right="1134" w:bottom="851" w:left="1134" w:header="0" w:footer="0" w:gutter="0"/>
          <w:cols w:space="720"/>
          <w:docGrid w:linePitch="299"/>
        </w:sectPr>
      </w:pPr>
    </w:p>
    <w:p w:rsidR="000B4A77" w:rsidRDefault="005F01DE">
      <w:pPr>
        <w:keepNext/>
        <w:keepLines/>
        <w:spacing w:before="200" w:after="0"/>
        <w:outlineLvl w:val="1"/>
        <w:rPr>
          <w:rFonts w:ascii="Times New Roman" w:eastAsiaTheme="majorEastAsia" w:hAnsi="Times New Roman" w:cs="Times New Roman"/>
          <w:b/>
          <w:bCs/>
        </w:rPr>
      </w:pPr>
      <w:bookmarkStart w:id="15" w:name="_Toc4759834"/>
      <w:r>
        <w:rPr>
          <w:rFonts w:ascii="Times New Roman" w:eastAsiaTheme="majorEastAsia" w:hAnsi="Times New Roman" w:cs="Times New Roman"/>
          <w:b/>
          <w:bCs/>
        </w:rPr>
        <w:lastRenderedPageBreak/>
        <w:t>3.5. Стоимость технологического присоединения к электрическим сетям</w:t>
      </w:r>
      <w:bookmarkEnd w:id="15"/>
      <w:r>
        <w:rPr>
          <w:rFonts w:ascii="Times New Roman" w:eastAsiaTheme="majorEastAsia" w:hAnsi="Times New Roman" w:cs="Times New Roman"/>
          <w:b/>
          <w:bCs/>
        </w:rPr>
        <w:t>.</w:t>
      </w:r>
    </w:p>
    <w:p w:rsidR="000B4A77" w:rsidRDefault="000B4A77">
      <w:pPr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48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60"/>
        <w:gridCol w:w="1770"/>
        <w:gridCol w:w="1435"/>
        <w:gridCol w:w="1558"/>
        <w:gridCol w:w="902"/>
        <w:gridCol w:w="1558"/>
        <w:gridCol w:w="902"/>
        <w:gridCol w:w="1558"/>
        <w:gridCol w:w="902"/>
        <w:gridCol w:w="1558"/>
        <w:gridCol w:w="902"/>
      </w:tblGrid>
      <w:tr w:rsidR="000B4A77">
        <w:trPr>
          <w:trHeight w:val="825"/>
        </w:trPr>
        <w:tc>
          <w:tcPr>
            <w:tcW w:w="49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Мощность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энергопринимающих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устройств заявителя, кВт</w:t>
            </w:r>
          </w:p>
        </w:tc>
        <w:tc>
          <w:tcPr>
            <w:tcW w:w="2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</w:tr>
      <w:tr w:rsidR="000B4A77">
        <w:trPr>
          <w:trHeight w:val="525"/>
        </w:trPr>
        <w:tc>
          <w:tcPr>
            <w:tcW w:w="49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надежности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 - II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 - II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 - II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 - II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</w:tr>
      <w:tr w:rsidR="000B4A77">
        <w:trPr>
          <w:trHeight w:val="1035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Расстояние до границ земельного участка заявителя,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Необходимость строительства подстанции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линии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0B4A77">
        <w:trPr>
          <w:trHeight w:val="27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500 -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сельская местность/300 - городская местность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0B4A77">
        <w:trPr>
          <w:trHeight w:val="27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A77" w:rsidRDefault="000B4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A77" w:rsidRDefault="000B4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0B4A77">
        <w:trPr>
          <w:trHeight w:val="27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A77" w:rsidRDefault="000B4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0B4A77">
        <w:trPr>
          <w:trHeight w:val="12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A77" w:rsidRDefault="000B4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A77" w:rsidRDefault="000B4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0B4A77">
        <w:trPr>
          <w:trHeight w:val="27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0B4A77">
        <w:trPr>
          <w:trHeight w:val="27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A77" w:rsidRDefault="000B4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A77" w:rsidRDefault="000B4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0B4A77">
        <w:trPr>
          <w:trHeight w:val="27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A77" w:rsidRDefault="000B4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0B4A77">
        <w:trPr>
          <w:trHeight w:val="27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A77" w:rsidRDefault="000B4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A77" w:rsidRDefault="000B4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0B4A77">
        <w:trPr>
          <w:trHeight w:val="27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0B4A77">
        <w:trPr>
          <w:trHeight w:val="27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A77" w:rsidRDefault="000B4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A77" w:rsidRDefault="000B4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0B4A77">
        <w:trPr>
          <w:trHeight w:val="27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A77" w:rsidRDefault="000B4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0B4A77">
        <w:trPr>
          <w:trHeight w:val="27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A77" w:rsidRDefault="000B4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A77" w:rsidRDefault="000B4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0B4A77">
        <w:trPr>
          <w:trHeight w:val="27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0B4A77">
        <w:trPr>
          <w:trHeight w:val="24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A77" w:rsidRDefault="000B4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A77" w:rsidRDefault="000B4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0B4A77">
        <w:trPr>
          <w:trHeight w:val="24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A77" w:rsidRDefault="000B4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0B4A77">
        <w:trPr>
          <w:trHeight w:val="24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A77" w:rsidRDefault="000B4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A77" w:rsidRDefault="000B4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</w:tbl>
    <w:p w:rsidR="000B4A77" w:rsidRDefault="005F01DE">
      <w:pPr>
        <w:pStyle w:val="HEADERTEXT0"/>
        <w:rPr>
          <w:b/>
          <w:bCs/>
          <w:color w:val="000001"/>
        </w:rPr>
      </w:pPr>
      <w:r>
        <w:rPr>
          <w:b/>
          <w:bCs/>
          <w:color w:val="000001"/>
        </w:rPr>
        <w:t xml:space="preserve">  </w:t>
      </w:r>
    </w:p>
    <w:p w:rsidR="000B4A77" w:rsidRDefault="005F01DE">
      <w:pPr>
        <w:pStyle w:val="HEADERTEXT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color w:val="000001"/>
          <w:sz w:val="22"/>
          <w:szCs w:val="22"/>
        </w:rPr>
        <w:t>Стоимость технологического присоединения к электрическим сетям ООО «Ставропольская</w:t>
      </w:r>
      <w:r>
        <w:rPr>
          <w:rFonts w:ascii="Times New Roman" w:hAnsi="Times New Roman" w:cs="Times New Roman"/>
          <w:bCs/>
          <w:color w:val="000001"/>
          <w:sz w:val="22"/>
          <w:szCs w:val="22"/>
        </w:rPr>
        <w:t xml:space="preserve"> электросеть» рассчитывается по стандартизированным тарифным ставкам, установленным в соответствии с Приказом департамента ценового и тарифного регулирования Самарской области № 990 от 27.12.2018г.</w:t>
      </w:r>
    </w:p>
    <w:p w:rsidR="000B4A77" w:rsidRDefault="005F01DE">
      <w:pPr>
        <w:pStyle w:val="formattex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Единая стандартизированная тарифная ставка,  применяемая д</w:t>
      </w:r>
      <w:r>
        <w:rPr>
          <w:sz w:val="22"/>
          <w:szCs w:val="22"/>
        </w:rPr>
        <w:t xml:space="preserve">ля определения оплаты за технологическое присоединение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 потребителей электроэнергии, объектов электросетевого хозяйства расположенных на территории Самарской области (в соответствии с Приказом Минэнерго и ЖКХ Самарской области № </w:t>
      </w:r>
      <w:r>
        <w:rPr>
          <w:sz w:val="22"/>
          <w:szCs w:val="22"/>
        </w:rPr>
        <w:t xml:space="preserve">990 от 27.12.2018г.) составляет – </w:t>
      </w:r>
      <w:r>
        <w:rPr>
          <w:b/>
          <w:sz w:val="22"/>
          <w:szCs w:val="22"/>
        </w:rPr>
        <w:t>15 638,77 руб. без НДС</w:t>
      </w:r>
      <w:r>
        <w:rPr>
          <w:sz w:val="22"/>
          <w:szCs w:val="22"/>
        </w:rPr>
        <w:t xml:space="preserve">  за одно присоединение;</w:t>
      </w:r>
    </w:p>
    <w:p w:rsidR="000B4A77" w:rsidRDefault="005F01DE">
      <w:pPr>
        <w:pStyle w:val="format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Ставка за единицу максимальной мощности,  применяемая для определения платы за технологическое присоединение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 максимальной мощности менее 8900 кВт и на уровне напряжения ниже 35 </w:t>
      </w:r>
      <w:proofErr w:type="spellStart"/>
      <w:r>
        <w:rPr>
          <w:sz w:val="22"/>
          <w:szCs w:val="22"/>
        </w:rPr>
        <w:t>кВ</w:t>
      </w:r>
      <w:proofErr w:type="spellEnd"/>
      <w:r>
        <w:rPr>
          <w:sz w:val="22"/>
          <w:szCs w:val="22"/>
        </w:rPr>
        <w:t>, объектов электросетевого хозяйства расположенн</w:t>
      </w:r>
      <w:r>
        <w:rPr>
          <w:sz w:val="22"/>
          <w:szCs w:val="22"/>
        </w:rPr>
        <w:t xml:space="preserve">ых на территории Самарской области (в соответствии с Приказом Минэнерго и ЖКХ Самарской области № 990 от 27.12.2018г.) составляет – </w:t>
      </w:r>
      <w:r>
        <w:rPr>
          <w:b/>
          <w:sz w:val="22"/>
          <w:szCs w:val="22"/>
        </w:rPr>
        <w:t>732,24 руб./кВт без НДС</w:t>
      </w:r>
      <w:r>
        <w:rPr>
          <w:sz w:val="22"/>
          <w:szCs w:val="22"/>
        </w:rPr>
        <w:t xml:space="preserve">.  </w:t>
      </w:r>
      <w:proofErr w:type="gramEnd"/>
    </w:p>
    <w:p w:rsidR="000B4A77" w:rsidRDefault="005F01DE">
      <w:pPr>
        <w:keepNext/>
        <w:keepLines/>
        <w:spacing w:before="480" w:after="0"/>
        <w:jc w:val="both"/>
        <w:outlineLvl w:val="0"/>
        <w:rPr>
          <w:rFonts w:ascii="Times New Roman" w:eastAsiaTheme="majorEastAsia" w:hAnsi="Times New Roman" w:cs="Times New Roman"/>
          <w:b/>
          <w:bCs/>
        </w:rPr>
      </w:pPr>
      <w:bookmarkStart w:id="16" w:name="_Toc4759835"/>
      <w:r>
        <w:rPr>
          <w:rFonts w:ascii="Times New Roman" w:eastAsiaTheme="majorEastAsia" w:hAnsi="Times New Roman" w:cs="Times New Roman"/>
          <w:b/>
          <w:bCs/>
        </w:rPr>
        <w:t>4. Качество обслуживания</w:t>
      </w:r>
      <w:bookmarkEnd w:id="16"/>
    </w:p>
    <w:p w:rsidR="000B4A77" w:rsidRDefault="005F01DE">
      <w:pPr>
        <w:keepNext/>
        <w:keepLines/>
        <w:spacing w:before="200" w:after="0"/>
        <w:jc w:val="both"/>
        <w:outlineLvl w:val="1"/>
        <w:rPr>
          <w:rFonts w:ascii="Times New Roman" w:eastAsiaTheme="majorEastAsia" w:hAnsi="Times New Roman" w:cs="Times New Roman"/>
          <w:b/>
          <w:bCs/>
        </w:rPr>
      </w:pPr>
      <w:bookmarkStart w:id="17" w:name="P792"/>
      <w:bookmarkStart w:id="18" w:name="_Toc4759836"/>
      <w:bookmarkEnd w:id="17"/>
      <w:r>
        <w:rPr>
          <w:rFonts w:ascii="Times New Roman" w:eastAsiaTheme="majorEastAsia" w:hAnsi="Times New Roman" w:cs="Times New Roman"/>
          <w:b/>
          <w:bCs/>
        </w:rPr>
        <w:t xml:space="preserve">4.1. </w:t>
      </w:r>
      <w:proofErr w:type="gramStart"/>
      <w:r>
        <w:rPr>
          <w:rFonts w:ascii="Times New Roman" w:eastAsiaTheme="majorEastAsia" w:hAnsi="Times New Roman" w:cs="Times New Roman"/>
          <w:b/>
          <w:bCs/>
        </w:rPr>
        <w:t>Количество обращений, поступивших в сетевую организацию, обращений,</w:t>
      </w:r>
      <w:r>
        <w:rPr>
          <w:rFonts w:ascii="Times New Roman" w:eastAsiaTheme="majorEastAsia" w:hAnsi="Times New Roman" w:cs="Times New Roman"/>
          <w:b/>
          <w:bCs/>
        </w:rPr>
        <w:t xml:space="preserve">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</w:t>
      </w:r>
      <w:r>
        <w:rPr>
          <w:rFonts w:ascii="Times New Roman" w:eastAsiaTheme="majorEastAsia" w:hAnsi="Times New Roman" w:cs="Times New Roman"/>
          <w:b/>
          <w:bCs/>
        </w:rPr>
        <w:t>г по передаче электрической энергии, а также по которым были урегулированы жалобы в отчетном периоде, а также динамика по отношению к</w:t>
      </w:r>
      <w:proofErr w:type="gramEnd"/>
      <w:r>
        <w:rPr>
          <w:rFonts w:ascii="Times New Roman" w:eastAsiaTheme="majorEastAsia" w:hAnsi="Times New Roman" w:cs="Times New Roman"/>
          <w:b/>
          <w:bCs/>
        </w:rPr>
        <w:t xml:space="preserve"> году, предшествующему отчетному.</w:t>
      </w:r>
      <w:bookmarkEnd w:id="18"/>
    </w:p>
    <w:tbl>
      <w:tblPr>
        <w:tblW w:w="147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0"/>
        <w:gridCol w:w="1501"/>
        <w:gridCol w:w="633"/>
        <w:gridCol w:w="863"/>
        <w:gridCol w:w="1041"/>
        <w:gridCol w:w="633"/>
        <w:gridCol w:w="1009"/>
        <w:gridCol w:w="895"/>
        <w:gridCol w:w="550"/>
        <w:gridCol w:w="863"/>
        <w:gridCol w:w="1041"/>
        <w:gridCol w:w="550"/>
        <w:gridCol w:w="863"/>
        <w:gridCol w:w="1041"/>
        <w:gridCol w:w="854"/>
        <w:gridCol w:w="863"/>
        <w:gridCol w:w="1041"/>
      </w:tblGrid>
      <w:tr w:rsidR="000B4A77">
        <w:trPr>
          <w:trHeight w:val="34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Категории обращений потребителей</w:t>
            </w:r>
          </w:p>
        </w:tc>
        <w:tc>
          <w:tcPr>
            <w:tcW w:w="127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Формы обслуживания</w:t>
            </w:r>
          </w:p>
        </w:tc>
      </w:tr>
      <w:tr w:rsidR="000B4A77">
        <w:trPr>
          <w:trHeight w:val="96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77" w:rsidRDefault="000B4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77" w:rsidRDefault="000B4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форма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Заочная форма 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использованием телефонной связи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 форма с использованием сети Интернет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Письменная форма с использованием почтовой связи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Прочее</w:t>
            </w:r>
          </w:p>
        </w:tc>
      </w:tr>
      <w:tr w:rsidR="000B4A77">
        <w:trPr>
          <w:trHeight w:val="18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N-1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 (текущий год)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N-1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 (текущий год)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N-1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(текущий год)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N-1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 (текущий год)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N-1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 (текущий год)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</w:tr>
      <w:tr w:rsidR="000B4A7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0B4A77">
        <w:trPr>
          <w:trHeight w:val="9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обращений потребителей, в том числе: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Pr="001C7510" w:rsidRDefault="001C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Pr="001C7510" w:rsidRDefault="001C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91,81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0B4A77">
        <w:trPr>
          <w:trHeight w:val="12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передаче электрической энергии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0B4A77">
        <w:trPr>
          <w:trHeight w:val="9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Pr="001C7510" w:rsidRDefault="001C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Pr="001C7510" w:rsidRDefault="001C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91,81</w:t>
            </w:r>
            <w:bookmarkStart w:id="19" w:name="_GoBack"/>
            <w:bookmarkEnd w:id="19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0B4A77">
        <w:trPr>
          <w:trHeight w:val="8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коммерческий учет электрической энергии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0B4A77">
        <w:trPr>
          <w:trHeight w:val="6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обслуживания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0B4A77">
        <w:trPr>
          <w:trHeight w:val="12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электросетевых объектов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0B4A77">
        <w:trPr>
          <w:trHeight w:val="24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прочее (отключение электрической энергии, дополнительные услуги, контактная информация,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энергосбытовая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деятельность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0B4A7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Жалобы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A77" w:rsidRDefault="000B4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0B4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0B4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0B4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0B4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0B4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0B4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0B4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0B4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0B4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0B4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0B4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0B4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0B4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0B4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B4A77">
        <w:trPr>
          <w:trHeight w:val="15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передаче электрической энергии, в том числе: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0B4A77">
        <w:trPr>
          <w:trHeight w:val="12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услуг по передаче электрической энергии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0B4A77">
        <w:trPr>
          <w:trHeight w:val="9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электрической энергии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0B4A77">
        <w:trPr>
          <w:trHeight w:val="9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0B4A77">
        <w:trPr>
          <w:trHeight w:val="93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коммерческий учет электрической энергии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0B4A77">
        <w:trPr>
          <w:trHeight w:val="6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обслуживания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0B4A77">
        <w:trPr>
          <w:trHeight w:val="15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объектов электросетевого хозяйства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0B4A77">
        <w:trPr>
          <w:trHeight w:val="20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прочее (отключение электроэнергии, дополнительные услуги, контактная информация,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энергосбытовая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деятельность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0B4A77">
        <w:trPr>
          <w:trHeight w:val="5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A77" w:rsidRDefault="005F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на оказание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0B4A77">
        <w:trPr>
          <w:trHeight w:val="8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A77" w:rsidRDefault="005F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технологическому присоединению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0B4A77">
        <w:trPr>
          <w:trHeight w:val="18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A77" w:rsidRDefault="005F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заключение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оказание услуг по передаче электрической энергии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0B4A77">
        <w:trPr>
          <w:trHeight w:val="11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коммерческого учета электрической энергии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0B4A77">
        <w:trPr>
          <w:trHeight w:val="12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A77" w:rsidRDefault="005F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прочее             (заявки на дополнительные услуги)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</w:tbl>
    <w:p w:rsidR="000B4A77" w:rsidRDefault="000B4A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4A77" w:rsidRDefault="000B4A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4A77" w:rsidRDefault="000B4A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4A77" w:rsidRDefault="000B4A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4A77" w:rsidRDefault="000B4A77">
      <w:pPr>
        <w:keepNext/>
        <w:keepLines/>
        <w:spacing w:before="200" w:after="0"/>
        <w:outlineLvl w:val="1"/>
        <w:rPr>
          <w:rFonts w:ascii="Times New Roman" w:eastAsiaTheme="majorEastAsia" w:hAnsi="Times New Roman" w:cs="Times New Roman"/>
          <w:b/>
          <w:bCs/>
          <w:sz w:val="26"/>
          <w:szCs w:val="26"/>
        </w:rPr>
        <w:sectPr w:rsidR="000B4A77">
          <w:footerReference w:type="default" r:id="rId15"/>
          <w:pgSz w:w="16838" w:h="11905" w:orient="landscape"/>
          <w:pgMar w:top="1701" w:right="1134" w:bottom="851" w:left="1134" w:header="0" w:footer="0" w:gutter="0"/>
          <w:cols w:space="720"/>
          <w:docGrid w:linePitch="299"/>
        </w:sectPr>
      </w:pPr>
      <w:bookmarkStart w:id="20" w:name="_Toc4759837"/>
    </w:p>
    <w:p w:rsidR="000B4A77" w:rsidRDefault="005F01DE">
      <w:pPr>
        <w:keepNext/>
        <w:keepLines/>
        <w:spacing w:before="200" w:after="0"/>
        <w:outlineLvl w:val="1"/>
        <w:rPr>
          <w:rFonts w:ascii="Times New Roman" w:eastAsiaTheme="majorEastAsia" w:hAnsi="Times New Roman" w:cs="Times New Roman"/>
          <w:b/>
          <w:bCs/>
          <w:color w:val="0070C0"/>
        </w:rPr>
      </w:pPr>
      <w:r>
        <w:rPr>
          <w:rFonts w:ascii="Times New Roman" w:eastAsiaTheme="majorEastAsia" w:hAnsi="Times New Roman" w:cs="Times New Roman"/>
          <w:b/>
          <w:bCs/>
        </w:rPr>
        <w:lastRenderedPageBreak/>
        <w:t>4.2. Информация о деятельности офисов обслуживания потребителей</w:t>
      </w:r>
      <w:bookmarkEnd w:id="20"/>
    </w:p>
    <w:p w:rsidR="000B4A77" w:rsidRDefault="005F01DE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ahoma" w:hAnsi="Times New Roman" w:cs="Times New Roman"/>
          <w:b/>
          <w:lang w:eastAsia="zh-CN" w:bidi="ar"/>
        </w:rPr>
        <w:t>Центр обслуживания клиентов</w:t>
      </w:r>
    </w:p>
    <w:p w:rsidR="000B4A77" w:rsidRDefault="005F01DE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lang w:eastAsia="zh-CN" w:bidi="ar"/>
        </w:rPr>
        <w:t xml:space="preserve">445143, Самарская область, Ставропольский район, </w:t>
      </w:r>
      <w:proofErr w:type="spellStart"/>
      <w:r>
        <w:rPr>
          <w:rFonts w:ascii="Times New Roman" w:eastAsia="SimSun" w:hAnsi="Times New Roman" w:cs="Times New Roman"/>
          <w:lang w:eastAsia="zh-CN" w:bidi="ar"/>
        </w:rPr>
        <w:t>с.п</w:t>
      </w:r>
      <w:proofErr w:type="spellEnd"/>
      <w:r>
        <w:rPr>
          <w:rFonts w:ascii="Times New Roman" w:eastAsia="SimSun" w:hAnsi="Times New Roman" w:cs="Times New Roman"/>
          <w:lang w:eastAsia="zh-CN" w:bidi="ar"/>
        </w:rPr>
        <w:t xml:space="preserve">. </w:t>
      </w:r>
      <w:proofErr w:type="spellStart"/>
      <w:r>
        <w:rPr>
          <w:rFonts w:ascii="Times New Roman" w:eastAsia="SimSun" w:hAnsi="Times New Roman" w:cs="Times New Roman"/>
          <w:lang w:eastAsia="zh-CN" w:bidi="ar"/>
        </w:rPr>
        <w:t>Подстепки</w:t>
      </w:r>
      <w:proofErr w:type="spellEnd"/>
      <w:r>
        <w:rPr>
          <w:rFonts w:ascii="Times New Roman" w:eastAsia="SimSun" w:hAnsi="Times New Roman" w:cs="Times New Roman"/>
          <w:lang w:eastAsia="zh-CN" w:bidi="ar"/>
        </w:rPr>
        <w:t xml:space="preserve">, ул. </w:t>
      </w:r>
      <w:proofErr w:type="spellStart"/>
      <w:r>
        <w:rPr>
          <w:rFonts w:ascii="Times New Roman" w:eastAsia="SimSun" w:hAnsi="Times New Roman" w:cs="Times New Roman"/>
          <w:lang w:val="en-US" w:eastAsia="zh-CN" w:bidi="ar"/>
        </w:rPr>
        <w:t>Изумрудная</w:t>
      </w:r>
      <w:proofErr w:type="spellEnd"/>
      <w:r>
        <w:rPr>
          <w:rFonts w:ascii="Times New Roman" w:eastAsia="SimSun" w:hAnsi="Times New Roman" w:cs="Times New Roman"/>
          <w:lang w:val="en-US" w:eastAsia="zh-CN" w:bidi="ar"/>
        </w:rPr>
        <w:t xml:space="preserve"> д. 1</w:t>
      </w:r>
    </w:p>
    <w:p w:rsidR="000B4A77" w:rsidRDefault="005F01DE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lang w:eastAsia="zh-CN" w:bidi="ar"/>
        </w:rPr>
        <w:t xml:space="preserve">Тел. </w:t>
      </w:r>
      <w:r>
        <w:rPr>
          <w:rFonts w:ascii="Times New Roman" w:eastAsia="SimSun" w:hAnsi="Times New Roman" w:cs="Times New Roman"/>
          <w:lang w:eastAsia="zh-CN" w:bidi="ar"/>
        </w:rPr>
        <w:t>(8482) 939939, факс 959975</w:t>
      </w:r>
    </w:p>
    <w:p w:rsidR="000B4A77" w:rsidRDefault="005F01DE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ahoma" w:hAnsi="Times New Roman" w:cs="Times New Roman"/>
          <w:b/>
          <w:lang w:eastAsia="zh-CN" w:bidi="ar"/>
        </w:rPr>
        <w:t>Интернет-приемная</w:t>
      </w:r>
    </w:p>
    <w:p w:rsidR="000B4A77" w:rsidRDefault="005F01DE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lang w:eastAsia="zh-CN" w:bidi="ar"/>
        </w:rPr>
        <w:t xml:space="preserve">Единый электронный почтовый ящик для приема и обработки сообщений клиентов - </w:t>
      </w:r>
      <w:hyperlink r:id="rId16" w:history="1">
        <w:r>
          <w:rPr>
            <w:rStyle w:val="ad"/>
            <w:rFonts w:ascii="Times New Roman" w:eastAsia="SimSun" w:hAnsi="Times New Roman" w:cs="Times New Roman"/>
            <w:color w:val="auto"/>
          </w:rPr>
          <w:t>info@stavrelektro.ru</w:t>
        </w:r>
      </w:hyperlink>
    </w:p>
    <w:p w:rsidR="000B4A77" w:rsidRDefault="005F01DE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ahoma" w:hAnsi="Times New Roman" w:cs="Times New Roman"/>
          <w:b/>
          <w:lang w:eastAsia="zh-CN" w:bidi="ar"/>
        </w:rPr>
        <w:t>Единый круглосуточный центр обработки вызовов -</w:t>
      </w:r>
    </w:p>
    <w:p w:rsidR="000B4A77" w:rsidRDefault="005F01DE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ahoma" w:hAnsi="Times New Roman" w:cs="Times New Roman"/>
          <w:lang w:eastAsia="zh-CN" w:bidi="ar"/>
        </w:rPr>
        <w:t>(8482)939-939</w:t>
      </w:r>
    </w:p>
    <w:p w:rsidR="000B4A77" w:rsidRDefault="005F01DE">
      <w:pPr>
        <w:keepNext/>
        <w:keepLines/>
        <w:spacing w:before="200" w:after="0"/>
        <w:outlineLvl w:val="1"/>
        <w:rPr>
          <w:rFonts w:ascii="Times New Roman" w:eastAsiaTheme="majorEastAsia" w:hAnsi="Times New Roman" w:cs="Times New Roman"/>
          <w:b/>
          <w:bCs/>
        </w:rPr>
      </w:pPr>
      <w:bookmarkStart w:id="21" w:name="_Toc4759838"/>
      <w:r>
        <w:rPr>
          <w:rFonts w:ascii="Times New Roman" w:eastAsiaTheme="majorEastAsia" w:hAnsi="Times New Roman" w:cs="Times New Roman"/>
          <w:b/>
          <w:bCs/>
        </w:rPr>
        <w:t xml:space="preserve">4.3. Информация о заочном </w:t>
      </w:r>
      <w:r>
        <w:rPr>
          <w:rFonts w:ascii="Times New Roman" w:eastAsiaTheme="majorEastAsia" w:hAnsi="Times New Roman" w:cs="Times New Roman"/>
          <w:b/>
          <w:bCs/>
        </w:rPr>
        <w:t>обслуживании потребителей посредством телефонной связи.</w:t>
      </w:r>
      <w:bookmarkEnd w:id="21"/>
    </w:p>
    <w:p w:rsidR="000B4A77" w:rsidRDefault="005F01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опубликована на официальном сайте </w:t>
      </w:r>
      <w:r>
        <w:rPr>
          <w:rFonts w:ascii="Times New Roman" w:eastAsia="Times New Roman" w:hAnsi="Times New Roman" w:cs="Times New Roman"/>
          <w:lang w:eastAsia="ru-RU"/>
        </w:rPr>
        <w:t>ООО «Ставропольская электросеть»</w:t>
      </w:r>
      <w:r>
        <w:rPr>
          <w:rFonts w:ascii="Times New Roman" w:hAnsi="Times New Roman" w:cs="Times New Roman"/>
        </w:rPr>
        <w:t xml:space="preserve"> в сети Интернет на странице http://stavrelektro.ru/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"/>
        <w:gridCol w:w="5946"/>
        <w:gridCol w:w="1418"/>
        <w:gridCol w:w="1499"/>
      </w:tblGrid>
      <w:tr w:rsidR="000B4A77">
        <w:tc>
          <w:tcPr>
            <w:tcW w:w="493" w:type="dxa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</w:tc>
        <w:tc>
          <w:tcPr>
            <w:tcW w:w="5946" w:type="dxa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418" w:type="dxa"/>
          </w:tcPr>
          <w:p w:rsidR="000B4A77" w:rsidRDefault="000B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9" w:type="dxa"/>
          </w:tcPr>
          <w:p w:rsidR="000B4A77" w:rsidRDefault="000B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4A77">
        <w:tc>
          <w:tcPr>
            <w:tcW w:w="493" w:type="dxa"/>
            <w:vAlign w:val="center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46" w:type="dxa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номеров телефонов, выделенных для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обслуживания потребителей:</w:t>
            </w:r>
          </w:p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Номер телефона по вопросам энергоснабжения:</w:t>
            </w:r>
          </w:p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Номера телефонов центров обработки телефонных вызовов:</w:t>
            </w:r>
          </w:p>
        </w:tc>
        <w:tc>
          <w:tcPr>
            <w:tcW w:w="1418" w:type="dxa"/>
            <w:vAlign w:val="center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номер телефона</w:t>
            </w:r>
          </w:p>
        </w:tc>
        <w:tc>
          <w:tcPr>
            <w:tcW w:w="1499" w:type="dxa"/>
            <w:vAlign w:val="center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(8482)939 939            </w:t>
            </w:r>
          </w:p>
        </w:tc>
      </w:tr>
      <w:tr w:rsidR="000B4A77">
        <w:tc>
          <w:tcPr>
            <w:tcW w:w="493" w:type="dxa"/>
            <w:vAlign w:val="center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946" w:type="dxa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Общее число телефонных вызовов от потребителей по выделенным номерам телефонов</w:t>
            </w:r>
          </w:p>
        </w:tc>
        <w:tc>
          <w:tcPr>
            <w:tcW w:w="1418" w:type="dxa"/>
            <w:vAlign w:val="center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Статистика по данной информации не ведется</w:t>
            </w:r>
          </w:p>
        </w:tc>
      </w:tr>
      <w:tr w:rsidR="000B4A77">
        <w:tc>
          <w:tcPr>
            <w:tcW w:w="493" w:type="dxa"/>
            <w:vAlign w:val="center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946" w:type="dxa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Общее число телефонных вызовов от потребителей, на которые ответил оператор сетевой организации</w:t>
            </w:r>
          </w:p>
        </w:tc>
        <w:tc>
          <w:tcPr>
            <w:tcW w:w="1418" w:type="dxa"/>
            <w:vAlign w:val="center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7" w:rsidRDefault="000B4A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A77">
        <w:tc>
          <w:tcPr>
            <w:tcW w:w="493" w:type="dxa"/>
            <w:vAlign w:val="center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5946" w:type="dxa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Общее число телефонных вызовов от потребителей, обработанных автоматически системой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интерактивного голосового меню</w:t>
            </w:r>
          </w:p>
        </w:tc>
        <w:tc>
          <w:tcPr>
            <w:tcW w:w="1418" w:type="dxa"/>
            <w:vAlign w:val="center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4A77">
        <w:tc>
          <w:tcPr>
            <w:tcW w:w="493" w:type="dxa"/>
            <w:vAlign w:val="center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2" w:name="P1289"/>
            <w:bookmarkEnd w:id="22"/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46" w:type="dxa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время ожидания ответа потребителем при телефонном вызове на выделенные номера телефонов за текущий период </w:t>
            </w:r>
          </w:p>
        </w:tc>
        <w:tc>
          <w:tcPr>
            <w:tcW w:w="1418" w:type="dxa"/>
            <w:vAlign w:val="center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мин.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4A77">
        <w:tc>
          <w:tcPr>
            <w:tcW w:w="493" w:type="dxa"/>
            <w:vAlign w:val="center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3" w:name="P1293"/>
            <w:bookmarkEnd w:id="23"/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946" w:type="dxa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время обработки телефонного вызова от потребителя на выделенные телефонные номера за текущий период </w:t>
            </w:r>
          </w:p>
        </w:tc>
        <w:tc>
          <w:tcPr>
            <w:tcW w:w="1418" w:type="dxa"/>
            <w:vAlign w:val="center"/>
          </w:tcPr>
          <w:p w:rsidR="000B4A77" w:rsidRDefault="005F0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мин.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7" w:rsidRDefault="005F01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00:01:57</w:t>
            </w:r>
          </w:p>
        </w:tc>
      </w:tr>
    </w:tbl>
    <w:p w:rsidR="000B4A77" w:rsidRDefault="000B4A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B4A77" w:rsidRDefault="005F01DE">
      <w:pPr>
        <w:keepNext/>
        <w:keepLines/>
        <w:spacing w:before="200" w:after="0"/>
        <w:jc w:val="both"/>
        <w:outlineLvl w:val="1"/>
        <w:rPr>
          <w:rFonts w:ascii="Times New Roman" w:eastAsiaTheme="majorEastAsia" w:hAnsi="Times New Roman" w:cs="Times New Roman"/>
          <w:b/>
          <w:bCs/>
        </w:rPr>
      </w:pPr>
      <w:bookmarkStart w:id="24" w:name="_Toc4759839"/>
      <w:r>
        <w:rPr>
          <w:rFonts w:ascii="Times New Roman" w:eastAsiaTheme="majorEastAsia" w:hAnsi="Times New Roman" w:cs="Times New Roman"/>
          <w:b/>
          <w:bCs/>
        </w:rPr>
        <w:t xml:space="preserve">4.4. 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</w:t>
      </w:r>
      <w:hyperlink w:anchor="P792" w:history="1">
        <w:r>
          <w:rPr>
            <w:rFonts w:ascii="Times New Roman" w:eastAsiaTheme="majorEastAsia" w:hAnsi="Times New Roman" w:cs="Times New Roman"/>
            <w:b/>
            <w:bCs/>
          </w:rPr>
          <w:t>пунктом 4.1</w:t>
        </w:r>
      </w:hyperlink>
      <w:r>
        <w:rPr>
          <w:rFonts w:ascii="Times New Roman" w:eastAsiaTheme="majorEastAsia" w:hAnsi="Times New Roman" w:cs="Times New Roman"/>
          <w:b/>
          <w:bCs/>
        </w:rPr>
        <w:t xml:space="preserve"> Информ</w:t>
      </w:r>
      <w:r>
        <w:rPr>
          <w:rFonts w:ascii="Times New Roman" w:eastAsiaTheme="majorEastAsia" w:hAnsi="Times New Roman" w:cs="Times New Roman"/>
          <w:b/>
          <w:bCs/>
        </w:rPr>
        <w:t>ации о качестве обслуживания потребителей услуг.</w:t>
      </w:r>
      <w:bookmarkEnd w:id="24"/>
    </w:p>
    <w:p w:rsidR="000B4A77" w:rsidRDefault="005F01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2019 году в ООО «Ставропольская электросеть» наибольшее число обращений зарегистрировано в категории «Запрос справочной информации/консультации», количество которых составило 89. Обращений, содержащих жало</w:t>
      </w:r>
      <w:r>
        <w:rPr>
          <w:rFonts w:ascii="Times New Roman" w:eastAsia="Times New Roman" w:hAnsi="Times New Roman" w:cs="Times New Roman"/>
          <w:lang w:eastAsia="ru-RU"/>
        </w:rPr>
        <w:t xml:space="preserve">бу, поступило 0.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Обращений, содержащих заявку на оказание услуг зарегистрировано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61. </w:t>
      </w:r>
      <w:bookmarkStart w:id="25" w:name="_Toc4759840"/>
    </w:p>
    <w:p w:rsidR="000B4A77" w:rsidRDefault="000B4A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B4A77" w:rsidRDefault="005F01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Theme="majorEastAsia" w:hAnsi="Times New Roman" w:cs="Times New Roman"/>
          <w:b/>
          <w:bCs/>
        </w:rPr>
        <w:t>4.5. Описание дополнительных услуг, оказываемых потребителю, помимо услуг, указанных в Единых стандартах качества обслуживания сетевыми организациями потребителей сетевы</w:t>
      </w:r>
      <w:r>
        <w:rPr>
          <w:rFonts w:ascii="Times New Roman" w:eastAsiaTheme="majorEastAsia" w:hAnsi="Times New Roman" w:cs="Times New Roman"/>
          <w:b/>
          <w:bCs/>
        </w:rPr>
        <w:t>х организаций.</w:t>
      </w:r>
      <w:bookmarkEnd w:id="25"/>
    </w:p>
    <w:p w:rsidR="000B4A77" w:rsidRDefault="005F01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ajorEastAsia" w:hAnsi="Times New Roman" w:cs="Times New Roman"/>
          <w:bCs/>
        </w:rPr>
      </w:pPr>
      <w:r>
        <w:rPr>
          <w:rFonts w:ascii="Times New Roman" w:eastAsiaTheme="majorEastAsia" w:hAnsi="Times New Roman" w:cs="Times New Roman"/>
          <w:bCs/>
        </w:rPr>
        <w:t>Дополнительных услуг нет.</w:t>
      </w:r>
      <w:bookmarkStart w:id="26" w:name="_Toc4759841"/>
    </w:p>
    <w:p w:rsidR="000B4A77" w:rsidRDefault="000B4A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ajorEastAsia" w:hAnsi="Times New Roman" w:cs="Times New Roman"/>
          <w:bCs/>
        </w:rPr>
      </w:pPr>
    </w:p>
    <w:p w:rsidR="000B4A77" w:rsidRDefault="005F01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eastAsiaTheme="majorEastAsia" w:hAnsi="Times New Roman" w:cs="Times New Roman"/>
          <w:b/>
          <w:bCs/>
        </w:rPr>
        <w:t>4.6. Мероприятия, направленные на работу с социально уязвимыми группами населения (пенсионеры, инвалиды, многодетные семьи, участники ВОВ и боевых действий на территориях других государств, матери-одиночки, участни</w:t>
      </w:r>
      <w:r>
        <w:rPr>
          <w:rFonts w:ascii="Times New Roman" w:eastAsiaTheme="majorEastAsia" w:hAnsi="Times New Roman" w:cs="Times New Roman"/>
          <w:b/>
          <w:bCs/>
        </w:rPr>
        <w:t>ки ликвидации аварии на Чернобыльской АЭС и приравненные к ним категории граждан).</w:t>
      </w:r>
      <w:bookmarkEnd w:id="26"/>
    </w:p>
    <w:p w:rsidR="000B4A77" w:rsidRDefault="005F01DE">
      <w:pPr>
        <w:keepNext/>
        <w:keepLines/>
        <w:spacing w:before="200" w:after="0"/>
        <w:jc w:val="both"/>
        <w:outlineLvl w:val="1"/>
        <w:rPr>
          <w:rFonts w:ascii="Times New Roman" w:eastAsiaTheme="majorEastAsia" w:hAnsi="Times New Roman" w:cs="Times New Roman"/>
          <w:b/>
          <w:bCs/>
        </w:rPr>
      </w:pPr>
      <w:bookmarkStart w:id="27" w:name="_Toc4759842"/>
      <w:r>
        <w:rPr>
          <w:rFonts w:ascii="Times New Roman" w:eastAsiaTheme="majorEastAsia" w:hAnsi="Times New Roman" w:cs="Times New Roman"/>
          <w:b/>
          <w:bCs/>
        </w:rPr>
        <w:t>4.7. 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</w:t>
      </w:r>
      <w:r>
        <w:rPr>
          <w:rFonts w:ascii="Times New Roman" w:eastAsiaTheme="majorEastAsia" w:hAnsi="Times New Roman" w:cs="Times New Roman"/>
          <w:b/>
          <w:bCs/>
        </w:rPr>
        <w:t xml:space="preserve"> качества обслуживания сетевыми организациями потребителей услуг сетевых организаций.</w:t>
      </w:r>
      <w:bookmarkEnd w:id="27"/>
    </w:p>
    <w:p w:rsidR="000B4A77" w:rsidRDefault="005F01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Согласно Приказа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министерства энергетики РФ от 15 апреля 2014 г. № 186 « О  единых стандартах качества обслуживания сетевыми организациями потребителей услуг сетевых орга</w:t>
      </w:r>
      <w:r>
        <w:rPr>
          <w:rFonts w:ascii="Times New Roman" w:eastAsia="Times New Roman" w:hAnsi="Times New Roman" w:cs="Times New Roman"/>
          <w:lang w:eastAsia="ru-RU"/>
        </w:rPr>
        <w:t>низаций ООО «Ставропольская электросеть» в период с 01 декабря по 26 декабря 2019 года был проведен социальный опрос потребителей о качестве обслуживания.</w:t>
      </w:r>
    </w:p>
    <w:p w:rsidR="000B4A77" w:rsidRDefault="005F01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Анкета, на которую отвечали потребители, состояла из 3 вопросов.</w:t>
      </w:r>
    </w:p>
    <w:tbl>
      <w:tblPr>
        <w:tblStyle w:val="ae"/>
        <w:tblW w:w="9570" w:type="dxa"/>
        <w:tblLayout w:type="fixed"/>
        <w:tblLook w:val="04A0" w:firstRow="1" w:lastRow="0" w:firstColumn="1" w:lastColumn="0" w:noHBand="0" w:noVBand="1"/>
      </w:tblPr>
      <w:tblGrid>
        <w:gridCol w:w="1384"/>
        <w:gridCol w:w="4996"/>
        <w:gridCol w:w="3190"/>
      </w:tblGrid>
      <w:tr w:rsidR="000B4A77">
        <w:trPr>
          <w:trHeight w:val="651"/>
        </w:trPr>
        <w:tc>
          <w:tcPr>
            <w:tcW w:w="1384" w:type="dxa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0B4A77" w:rsidRDefault="005F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996" w:type="dxa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критерия</w:t>
            </w:r>
          </w:p>
        </w:tc>
        <w:tc>
          <w:tcPr>
            <w:tcW w:w="3190" w:type="dxa"/>
          </w:tcPr>
          <w:p w:rsidR="000B4A77" w:rsidRDefault="005F0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оценки</w:t>
            </w:r>
          </w:p>
        </w:tc>
      </w:tr>
      <w:tr w:rsidR="000B4A77">
        <w:trPr>
          <w:trHeight w:val="804"/>
        </w:trPr>
        <w:tc>
          <w:tcPr>
            <w:tcW w:w="1384" w:type="dxa"/>
          </w:tcPr>
          <w:p w:rsidR="000B4A77" w:rsidRDefault="005F0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96" w:type="dxa"/>
          </w:tcPr>
          <w:p w:rsidR="000B4A77" w:rsidRDefault="005F0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Полнота и доступность информации о технологическом присоединении к электросетям ООО «Ставропольские электросети»</w:t>
            </w:r>
          </w:p>
        </w:tc>
        <w:tc>
          <w:tcPr>
            <w:tcW w:w="3190" w:type="dxa"/>
          </w:tcPr>
          <w:p w:rsidR="000B4A77" w:rsidRDefault="005F0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Хорошо</w:t>
            </w:r>
          </w:p>
          <w:p w:rsidR="000B4A77" w:rsidRDefault="005F0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</w:t>
            </w:r>
          </w:p>
          <w:p w:rsidR="000B4A77" w:rsidRDefault="005F0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неудовлетворительно</w:t>
            </w:r>
          </w:p>
        </w:tc>
      </w:tr>
      <w:tr w:rsidR="000B4A77">
        <w:trPr>
          <w:trHeight w:val="869"/>
        </w:trPr>
        <w:tc>
          <w:tcPr>
            <w:tcW w:w="1384" w:type="dxa"/>
          </w:tcPr>
          <w:p w:rsidR="000B4A77" w:rsidRDefault="005F0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96" w:type="dxa"/>
          </w:tcPr>
          <w:p w:rsidR="000B4A77" w:rsidRDefault="005F01DE">
            <w:pPr>
              <w:pStyle w:val="Normal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Уровень клиентского сервиса по технологическому присоединению </w:t>
            </w:r>
          </w:p>
        </w:tc>
        <w:tc>
          <w:tcPr>
            <w:tcW w:w="3190" w:type="dxa"/>
          </w:tcPr>
          <w:p w:rsidR="000B4A77" w:rsidRDefault="005F0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Хорошо</w:t>
            </w:r>
          </w:p>
          <w:p w:rsidR="000B4A77" w:rsidRDefault="005F0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</w:t>
            </w:r>
          </w:p>
          <w:p w:rsidR="000B4A77" w:rsidRDefault="005F0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</w:t>
            </w:r>
            <w:r>
              <w:rPr>
                <w:rFonts w:ascii="Times New Roman" w:hAnsi="Times New Roman" w:cs="Times New Roman"/>
              </w:rPr>
              <w:t>довлетворительно</w:t>
            </w:r>
          </w:p>
        </w:tc>
      </w:tr>
      <w:tr w:rsidR="000B4A77">
        <w:trPr>
          <w:trHeight w:val="947"/>
        </w:trPr>
        <w:tc>
          <w:tcPr>
            <w:tcW w:w="1384" w:type="dxa"/>
          </w:tcPr>
          <w:p w:rsidR="000B4A77" w:rsidRDefault="005F0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96" w:type="dxa"/>
          </w:tcPr>
          <w:p w:rsidR="000B4A77" w:rsidRDefault="005F01DE">
            <w:pPr>
              <w:pStyle w:val="Normal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Качество передаваемой электроэнергии по сетям </w:t>
            </w:r>
          </w:p>
          <w:p w:rsidR="000B4A77" w:rsidRDefault="000B4A77">
            <w:pPr>
              <w:pStyle w:val="Normal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</w:tcPr>
          <w:p w:rsidR="000B4A77" w:rsidRDefault="005F0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Хорошо</w:t>
            </w:r>
          </w:p>
          <w:p w:rsidR="000B4A77" w:rsidRDefault="005F0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</w:t>
            </w:r>
          </w:p>
          <w:p w:rsidR="000B4A77" w:rsidRDefault="005F0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неудовлетворительно</w:t>
            </w:r>
          </w:p>
        </w:tc>
      </w:tr>
    </w:tbl>
    <w:p w:rsidR="000B4A77" w:rsidRDefault="000B4A77">
      <w:pPr>
        <w:pStyle w:val="Normal1"/>
        <w:spacing w:line="240" w:lineRule="atLeast"/>
        <w:jc w:val="center"/>
        <w:rPr>
          <w:rFonts w:ascii="Times New Roman" w:hAnsi="Times New Roman"/>
          <w:b/>
          <w:bCs/>
        </w:rPr>
      </w:pPr>
    </w:p>
    <w:p w:rsidR="000B4A77" w:rsidRDefault="005F01DE">
      <w:pPr>
        <w:pStyle w:val="Normal1"/>
        <w:spacing w:line="240" w:lineRule="atLeas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На 1 вопрос о полноте и доступности информации о технологическом присоединении к электросетям ООО «Ставропольская электросеть» респонденты поставили следующие оценки: </w:t>
      </w:r>
      <w:r>
        <w:rPr>
          <w:rFonts w:ascii="Times New Roman" w:hAnsi="Times New Roman"/>
          <w:b/>
        </w:rPr>
        <w:t>100 % дали оценку «хорошо»</w:t>
      </w:r>
    </w:p>
    <w:p w:rsidR="000B4A77" w:rsidRDefault="005F01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1243965</wp:posOffset>
            </wp:positionH>
            <wp:positionV relativeFrom="paragraph">
              <wp:posOffset>335915</wp:posOffset>
            </wp:positionV>
            <wp:extent cx="2981325" cy="1819275"/>
            <wp:effectExtent l="0" t="0" r="9525" b="9525"/>
            <wp:wrapTight wrapText="bothSides">
              <wp:wrapPolygon edited="0">
                <wp:start x="0" y="0"/>
                <wp:lineTo x="0" y="21487"/>
                <wp:lineTo x="21531" y="21487"/>
                <wp:lineTo x="21531" y="0"/>
                <wp:lineTo x="0" y="0"/>
              </wp:wrapPolygon>
            </wp:wrapTight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</w:p>
    <w:p w:rsidR="000B4A77" w:rsidRDefault="000B4A7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0B4A77" w:rsidRDefault="000B4A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4A77" w:rsidRDefault="000B4A77">
      <w:pPr>
        <w:pStyle w:val="Normal1"/>
        <w:spacing w:line="274" w:lineRule="auto"/>
        <w:contextualSpacing/>
        <w:jc w:val="center"/>
        <w:rPr>
          <w:rFonts w:ascii="Times New Roman" w:hAnsi="Times New Roman"/>
          <w:b/>
          <w:bCs/>
        </w:rPr>
      </w:pPr>
    </w:p>
    <w:p w:rsidR="000B4A77" w:rsidRDefault="000B4A77">
      <w:pPr>
        <w:pStyle w:val="Normal1"/>
        <w:spacing w:line="274" w:lineRule="auto"/>
        <w:contextualSpacing/>
        <w:jc w:val="center"/>
        <w:rPr>
          <w:rFonts w:ascii="Times New Roman" w:hAnsi="Times New Roman"/>
          <w:b/>
          <w:bCs/>
        </w:rPr>
      </w:pPr>
    </w:p>
    <w:p w:rsidR="000B4A77" w:rsidRDefault="000B4A77">
      <w:pPr>
        <w:pStyle w:val="Normal1"/>
        <w:spacing w:line="274" w:lineRule="auto"/>
        <w:contextualSpacing/>
        <w:jc w:val="center"/>
        <w:rPr>
          <w:rFonts w:ascii="Times New Roman" w:hAnsi="Times New Roman"/>
          <w:b/>
          <w:bCs/>
        </w:rPr>
      </w:pPr>
    </w:p>
    <w:p w:rsidR="000B4A77" w:rsidRDefault="000B4A77">
      <w:pPr>
        <w:pStyle w:val="Normal1"/>
        <w:spacing w:line="274" w:lineRule="auto"/>
        <w:contextualSpacing/>
        <w:jc w:val="center"/>
        <w:rPr>
          <w:rFonts w:ascii="Times New Roman" w:hAnsi="Times New Roman"/>
          <w:b/>
          <w:bCs/>
        </w:rPr>
      </w:pPr>
    </w:p>
    <w:p w:rsidR="000B4A77" w:rsidRDefault="000B4A77">
      <w:pPr>
        <w:pStyle w:val="Normal1"/>
        <w:spacing w:line="274" w:lineRule="auto"/>
        <w:contextualSpacing/>
        <w:jc w:val="center"/>
        <w:rPr>
          <w:rFonts w:ascii="Times New Roman" w:hAnsi="Times New Roman"/>
          <w:b/>
          <w:bCs/>
        </w:rPr>
      </w:pPr>
    </w:p>
    <w:p w:rsidR="000B4A77" w:rsidRDefault="000B4A77">
      <w:pPr>
        <w:pStyle w:val="Normal1"/>
        <w:spacing w:line="274" w:lineRule="auto"/>
        <w:contextualSpacing/>
        <w:jc w:val="center"/>
        <w:rPr>
          <w:rFonts w:ascii="Times New Roman" w:hAnsi="Times New Roman"/>
          <w:b/>
          <w:bCs/>
        </w:rPr>
      </w:pPr>
    </w:p>
    <w:p w:rsidR="000B4A77" w:rsidRDefault="000B4A77">
      <w:pPr>
        <w:pStyle w:val="Normal1"/>
        <w:spacing w:line="274" w:lineRule="auto"/>
        <w:contextualSpacing/>
        <w:jc w:val="center"/>
        <w:rPr>
          <w:rFonts w:ascii="Times New Roman" w:hAnsi="Times New Roman"/>
          <w:b/>
          <w:bCs/>
        </w:rPr>
      </w:pPr>
    </w:p>
    <w:p w:rsidR="000B4A77" w:rsidRDefault="000B4A77">
      <w:pPr>
        <w:pStyle w:val="Normal1"/>
        <w:spacing w:line="274" w:lineRule="auto"/>
        <w:contextualSpacing/>
        <w:jc w:val="center"/>
        <w:rPr>
          <w:rFonts w:ascii="Times New Roman" w:hAnsi="Times New Roman"/>
          <w:b/>
          <w:bCs/>
        </w:rPr>
      </w:pPr>
    </w:p>
    <w:p w:rsidR="000B4A77" w:rsidRDefault="000B4A77">
      <w:pPr>
        <w:pStyle w:val="Normal1"/>
        <w:spacing w:line="274" w:lineRule="auto"/>
        <w:contextualSpacing/>
        <w:jc w:val="center"/>
        <w:rPr>
          <w:rFonts w:ascii="Times New Roman" w:hAnsi="Times New Roman"/>
          <w:b/>
          <w:bCs/>
        </w:rPr>
      </w:pPr>
    </w:p>
    <w:p w:rsidR="000B4A77" w:rsidRDefault="005F01DE">
      <w:pPr>
        <w:pStyle w:val="Normal1"/>
        <w:spacing w:line="274" w:lineRule="auto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На 2 вопрос «Уровень клиентского сервиса по </w:t>
      </w:r>
      <w:r>
        <w:rPr>
          <w:rFonts w:ascii="Times New Roman" w:hAnsi="Times New Roman"/>
          <w:b/>
          <w:bCs/>
        </w:rPr>
        <w:t>технологическому присоединению»</w:t>
      </w:r>
    </w:p>
    <w:p w:rsidR="000B4A77" w:rsidRDefault="005F01DE">
      <w:pPr>
        <w:pStyle w:val="Normal1"/>
        <w:spacing w:line="274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100 % дали оценку «хорошо»</w:t>
      </w:r>
    </w:p>
    <w:p w:rsidR="000B4A77" w:rsidRDefault="005F01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1434465</wp:posOffset>
            </wp:positionH>
            <wp:positionV relativeFrom="paragraph">
              <wp:posOffset>121285</wp:posOffset>
            </wp:positionV>
            <wp:extent cx="2981325" cy="1819275"/>
            <wp:effectExtent l="0" t="0" r="9525" b="9525"/>
            <wp:wrapSquare wrapText="bothSides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</w:p>
    <w:p w:rsidR="000B4A77" w:rsidRDefault="000B4A77">
      <w:pPr>
        <w:rPr>
          <w:rFonts w:ascii="Times New Roman" w:hAnsi="Times New Roman" w:cs="Times New Roman"/>
          <w:sz w:val="28"/>
          <w:szCs w:val="28"/>
        </w:rPr>
      </w:pPr>
    </w:p>
    <w:p w:rsidR="000B4A77" w:rsidRDefault="000B4A77">
      <w:pPr>
        <w:rPr>
          <w:rFonts w:ascii="Times New Roman" w:hAnsi="Times New Roman" w:cs="Times New Roman"/>
          <w:sz w:val="28"/>
          <w:szCs w:val="28"/>
        </w:rPr>
      </w:pPr>
    </w:p>
    <w:p w:rsidR="000B4A77" w:rsidRDefault="000B4A77">
      <w:pPr>
        <w:rPr>
          <w:rFonts w:ascii="Times New Roman" w:hAnsi="Times New Roman" w:cs="Times New Roman"/>
          <w:sz w:val="28"/>
          <w:szCs w:val="28"/>
        </w:rPr>
      </w:pPr>
    </w:p>
    <w:p w:rsidR="000B4A77" w:rsidRDefault="000B4A77">
      <w:pPr>
        <w:rPr>
          <w:rFonts w:ascii="Times New Roman" w:hAnsi="Times New Roman" w:cs="Times New Roman"/>
          <w:sz w:val="28"/>
          <w:szCs w:val="28"/>
        </w:rPr>
      </w:pPr>
    </w:p>
    <w:p w:rsidR="000B4A77" w:rsidRDefault="005F01DE">
      <w:pPr>
        <w:pStyle w:val="Normal1"/>
        <w:contextualSpacing/>
        <w:jc w:val="right"/>
      </w:pPr>
      <w:r>
        <w:t xml:space="preserve"> </w:t>
      </w:r>
    </w:p>
    <w:p w:rsidR="000B4A77" w:rsidRDefault="000B4A77">
      <w:pPr>
        <w:pStyle w:val="Normal1"/>
        <w:contextualSpacing/>
        <w:jc w:val="center"/>
        <w:rPr>
          <w:rFonts w:ascii="Times New Roman" w:eastAsia="Calibri" w:hAnsi="Times New Roman"/>
          <w:b/>
          <w:bCs/>
        </w:rPr>
      </w:pPr>
    </w:p>
    <w:p w:rsidR="000B4A77" w:rsidRDefault="000B4A77">
      <w:pPr>
        <w:pStyle w:val="Normal1"/>
        <w:contextualSpacing/>
        <w:jc w:val="center"/>
        <w:rPr>
          <w:rFonts w:ascii="Times New Roman" w:eastAsia="Calibri" w:hAnsi="Times New Roman"/>
          <w:b/>
          <w:bCs/>
        </w:rPr>
      </w:pPr>
    </w:p>
    <w:p w:rsidR="000B4A77" w:rsidRDefault="005F01DE">
      <w:pPr>
        <w:pStyle w:val="Normal1"/>
        <w:contextualSpacing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eastAsia="Calibri" w:hAnsi="Times New Roman"/>
          <w:b/>
          <w:bCs/>
        </w:rPr>
        <w:t>На 3 вопрос</w:t>
      </w:r>
      <w:r>
        <w:rPr>
          <w:rFonts w:ascii="Times New Roman" w:hAnsi="Times New Roman"/>
          <w:b/>
          <w:bCs/>
          <w:color w:val="000000"/>
        </w:rPr>
        <w:t xml:space="preserve"> «Качество передаваемой электроэнергии  по сетям»</w:t>
      </w:r>
    </w:p>
    <w:p w:rsidR="000B4A77" w:rsidRDefault="005F01DE">
      <w:pPr>
        <w:pStyle w:val="Normal1"/>
        <w:contextualSpacing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100%  дали оценку «хорошо».</w:t>
      </w:r>
    </w:p>
    <w:p w:rsidR="000B4A77" w:rsidRDefault="005F01DE">
      <w:pPr>
        <w:jc w:val="center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noProof/>
          <w:sz w:val="8"/>
          <w:szCs w:val="8"/>
          <w:lang w:eastAsia="ru-RU"/>
        </w:rPr>
        <w:drawing>
          <wp:inline distT="0" distB="0" distL="0" distR="0">
            <wp:extent cx="3171825" cy="1962150"/>
            <wp:effectExtent l="0" t="0" r="9525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>
        <w:rPr>
          <w:rFonts w:ascii="Times New Roman" w:hAnsi="Times New Roman" w:cs="Times New Roman"/>
          <w:sz w:val="8"/>
          <w:szCs w:val="8"/>
        </w:rPr>
        <w:t xml:space="preserve">    </w:t>
      </w:r>
    </w:p>
    <w:p w:rsidR="000B4A77" w:rsidRDefault="005F01DE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</w:rPr>
      </w:pPr>
      <w:bookmarkStart w:id="28" w:name="_Toc4759843"/>
      <w:r>
        <w:rPr>
          <w:rFonts w:ascii="Times New Roman" w:eastAsiaTheme="majorEastAsia" w:hAnsi="Times New Roman" w:cs="Times New Roman"/>
          <w:b/>
          <w:bCs/>
        </w:rPr>
        <w:t xml:space="preserve">4.8. Мероприятия, выполняемые сетевой организацией в целях повышения качества обслуживания </w:t>
      </w:r>
      <w:r>
        <w:rPr>
          <w:rFonts w:ascii="Times New Roman" w:eastAsiaTheme="majorEastAsia" w:hAnsi="Times New Roman" w:cs="Times New Roman"/>
          <w:b/>
          <w:bCs/>
        </w:rPr>
        <w:t>потребителей.</w:t>
      </w:r>
      <w:bookmarkEnd w:id="28"/>
    </w:p>
    <w:p w:rsidR="000B4A77" w:rsidRDefault="000B4A77">
      <w:pPr>
        <w:spacing w:after="0" w:line="322" w:lineRule="exact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</w:p>
    <w:p w:rsidR="000B4A77" w:rsidRDefault="005F01D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Основой мероприятий, реализуемых ООО «Ставропольская электросеть» для улучшения системы обслуживания потребителей, являются следующие принципы работы с потребителями:</w:t>
      </w:r>
    </w:p>
    <w:p w:rsidR="000B4A77" w:rsidRDefault="005F01D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обеспечение качества и доступности услуг в соответствии с действующим за</w:t>
      </w:r>
      <w:r>
        <w:rPr>
          <w:rFonts w:ascii="Times New Roman" w:hAnsi="Times New Roman" w:cs="Times New Roman"/>
        </w:rPr>
        <w:t>конодательством Российской Федерации;</w:t>
      </w:r>
    </w:p>
    <w:p w:rsidR="000B4A77" w:rsidRDefault="005F01D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достаточная информированность потребителей о компании и услугах. Полная и достоверная информация обо всех процедурах взаимодействия с сетевой организацией носит публичный характер, предоставляется в доступной форме д</w:t>
      </w:r>
      <w:r>
        <w:rPr>
          <w:rFonts w:ascii="Times New Roman" w:hAnsi="Times New Roman" w:cs="Times New Roman"/>
        </w:rPr>
        <w:t>ля потребителя услуг. Данный принцип предупреждает необходимость обращения потребителя в компанию для получения справочной информации и консультаций;</w:t>
      </w:r>
    </w:p>
    <w:p w:rsidR="000B4A77" w:rsidRDefault="005F01D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доступность и оперативность заочного и электронного (интерактивного) обслуживания. </w:t>
      </w:r>
      <w:r>
        <w:rPr>
          <w:rFonts w:ascii="Times New Roman" w:eastAsia="Times New Roman" w:hAnsi="Times New Roman" w:cs="Times New Roman"/>
          <w:lang w:eastAsia="ru-RU"/>
        </w:rPr>
        <w:t>ООО «Ставропольская э</w:t>
      </w:r>
      <w:r>
        <w:rPr>
          <w:rFonts w:ascii="Times New Roman" w:eastAsia="Times New Roman" w:hAnsi="Times New Roman" w:cs="Times New Roman"/>
          <w:lang w:eastAsia="ru-RU"/>
        </w:rPr>
        <w:t>лектросеть»</w:t>
      </w:r>
      <w:r>
        <w:rPr>
          <w:rFonts w:ascii="Times New Roman" w:hAnsi="Times New Roman" w:cs="Times New Roman"/>
        </w:rPr>
        <w:t xml:space="preserve"> обеспечивает круглосуточный доступ к телефонному обслуживанию и оперативность реакции на запросы потребителей;</w:t>
      </w:r>
    </w:p>
    <w:p w:rsidR="000B4A77" w:rsidRDefault="005F01D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квалифицированное обслуживание. </w:t>
      </w:r>
    </w:p>
    <w:p w:rsidR="000B4A77" w:rsidRDefault="005F01DE">
      <w:pPr>
        <w:keepNext/>
        <w:keepLines/>
        <w:spacing w:before="200" w:after="0"/>
        <w:outlineLvl w:val="1"/>
        <w:rPr>
          <w:rFonts w:ascii="Times New Roman" w:eastAsiaTheme="majorEastAsia" w:hAnsi="Times New Roman" w:cs="Times New Roman"/>
          <w:b/>
          <w:bCs/>
        </w:rPr>
      </w:pPr>
      <w:bookmarkStart w:id="29" w:name="_Toc4759844"/>
      <w:r>
        <w:rPr>
          <w:rFonts w:ascii="Times New Roman" w:eastAsiaTheme="majorEastAsia" w:hAnsi="Times New Roman" w:cs="Times New Roman"/>
          <w:b/>
          <w:bCs/>
        </w:rPr>
        <w:t>4.9. Информация по обращениям потребителей.</w:t>
      </w:r>
      <w:bookmarkEnd w:id="29"/>
    </w:p>
    <w:p w:rsidR="000B4A77" w:rsidRDefault="005F01D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опубликована на официальном сайте </w:t>
      </w:r>
      <w:r>
        <w:rPr>
          <w:rFonts w:ascii="Times New Roman" w:eastAsia="Times New Roman" w:hAnsi="Times New Roman" w:cs="Times New Roman"/>
          <w:lang w:eastAsia="ru-RU"/>
        </w:rPr>
        <w:t xml:space="preserve">ООО </w:t>
      </w:r>
      <w:r>
        <w:rPr>
          <w:rFonts w:ascii="Times New Roman" w:eastAsia="Times New Roman" w:hAnsi="Times New Roman" w:cs="Times New Roman"/>
          <w:lang w:eastAsia="ru-RU"/>
        </w:rPr>
        <w:t>«Ставропольская электросеть »</w:t>
      </w:r>
      <w:r>
        <w:rPr>
          <w:rFonts w:ascii="Times New Roman" w:hAnsi="Times New Roman" w:cs="Times New Roman"/>
        </w:rPr>
        <w:t xml:space="preserve">в сети Интернет на странице </w:t>
      </w:r>
      <w:r>
        <w:rPr>
          <w:rFonts w:ascii="Times New Roman" w:hAnsi="Times New Roman" w:cs="Times New Roman"/>
          <w:u w:val="single"/>
          <w:lang w:val="en-US"/>
        </w:rPr>
        <w:t>http</w:t>
      </w:r>
      <w:r>
        <w:rPr>
          <w:rFonts w:ascii="Times New Roman" w:hAnsi="Times New Roman" w:cs="Times New Roman"/>
          <w:u w:val="single"/>
        </w:rPr>
        <w:t>://</w:t>
      </w:r>
      <w:proofErr w:type="spellStart"/>
      <w:r>
        <w:rPr>
          <w:rFonts w:ascii="Times New Roman" w:hAnsi="Times New Roman" w:cs="Times New Roman"/>
          <w:u w:val="single"/>
          <w:lang w:val="en-US"/>
        </w:rPr>
        <w:t>stavrelektro</w:t>
      </w:r>
      <w:proofErr w:type="spellEnd"/>
      <w:r>
        <w:rPr>
          <w:rFonts w:ascii="Times New Roman" w:hAnsi="Times New Roman" w:cs="Times New Roman"/>
          <w:u w:val="single"/>
        </w:rPr>
        <w:t>.</w:t>
      </w:r>
      <w:proofErr w:type="spellStart"/>
      <w:r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. Файл «Информация о качестве обслуживания потребителей услуг».</w:t>
      </w:r>
    </w:p>
    <w:sectPr w:rsidR="000B4A77">
      <w:pgSz w:w="11905" w:h="16838"/>
      <w:pgMar w:top="1134" w:right="851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1DE" w:rsidRDefault="005F01DE">
      <w:pPr>
        <w:spacing w:after="0" w:line="240" w:lineRule="auto"/>
      </w:pPr>
      <w:r>
        <w:separator/>
      </w:r>
    </w:p>
  </w:endnote>
  <w:endnote w:type="continuationSeparator" w:id="0">
    <w:p w:rsidR="005F01DE" w:rsidRDefault="005F0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578840"/>
    </w:sdtPr>
    <w:sdtEndPr>
      <w:rPr>
        <w:rFonts w:ascii="Times New Roman" w:hAnsi="Times New Roman" w:cs="Times New Roman"/>
        <w:sz w:val="18"/>
        <w:szCs w:val="18"/>
      </w:rPr>
    </w:sdtEndPr>
    <w:sdtContent>
      <w:p w:rsidR="000B4A77" w:rsidRDefault="005F01DE">
        <w:pPr>
          <w:pStyle w:val="a5"/>
          <w:jc w:val="right"/>
          <w:rPr>
            <w:rFonts w:ascii="Times New Roman" w:hAnsi="Times New Roman" w:cs="Times New Roman"/>
            <w:sz w:val="18"/>
            <w:szCs w:val="18"/>
          </w:rPr>
        </w:pPr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1C7510">
          <w:rPr>
            <w:rFonts w:ascii="Times New Roman" w:hAnsi="Times New Roman" w:cs="Times New Roman"/>
            <w:noProof/>
            <w:sz w:val="18"/>
            <w:szCs w:val="18"/>
          </w:rPr>
          <w:t>10</w:t>
        </w:r>
        <w:r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0B4A77" w:rsidRDefault="000B4A7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525217"/>
    </w:sdtPr>
    <w:sdtEndPr>
      <w:rPr>
        <w:rFonts w:ascii="Times New Roman" w:hAnsi="Times New Roman" w:cs="Times New Roman"/>
        <w:sz w:val="18"/>
        <w:szCs w:val="18"/>
      </w:rPr>
    </w:sdtEndPr>
    <w:sdtContent>
      <w:p w:rsidR="000B4A77" w:rsidRDefault="005F01DE">
        <w:pPr>
          <w:pStyle w:val="a5"/>
          <w:jc w:val="right"/>
          <w:rPr>
            <w:rFonts w:ascii="Times New Roman" w:hAnsi="Times New Roman" w:cs="Times New Roman"/>
            <w:sz w:val="18"/>
            <w:szCs w:val="18"/>
          </w:rPr>
        </w:pPr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1C7510">
          <w:rPr>
            <w:rFonts w:ascii="Times New Roman" w:hAnsi="Times New Roman" w:cs="Times New Roman"/>
            <w:noProof/>
            <w:sz w:val="18"/>
            <w:szCs w:val="18"/>
          </w:rPr>
          <w:t>16</w:t>
        </w:r>
        <w:r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0B4A77" w:rsidRDefault="000B4A77">
    <w:pPr>
      <w:pStyle w:val="a5"/>
    </w:pPr>
  </w:p>
  <w:p w:rsidR="000B4A77" w:rsidRDefault="000B4A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1DE" w:rsidRDefault="005F01DE">
      <w:pPr>
        <w:spacing w:after="0" w:line="240" w:lineRule="auto"/>
      </w:pPr>
      <w:r>
        <w:separator/>
      </w:r>
    </w:p>
  </w:footnote>
  <w:footnote w:type="continuationSeparator" w:id="0">
    <w:p w:rsidR="005F01DE" w:rsidRDefault="005F01DE">
      <w:pPr>
        <w:spacing w:after="0" w:line="240" w:lineRule="auto"/>
      </w:pPr>
      <w:r>
        <w:continuationSeparator/>
      </w:r>
    </w:p>
  </w:footnote>
  <w:footnote w:id="1">
    <w:p w:rsidR="000B4A77" w:rsidRDefault="000B4A77">
      <w:pPr>
        <w:pStyle w:val="a7"/>
      </w:pPr>
    </w:p>
  </w:footnote>
  <w:footnote w:id="2">
    <w:p w:rsidR="000B4A77" w:rsidRDefault="000B4A77">
      <w:pPr>
        <w:pStyle w:val="a7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AD8"/>
    <w:rsid w:val="00002048"/>
    <w:rsid w:val="00002B80"/>
    <w:rsid w:val="0001233F"/>
    <w:rsid w:val="00097B18"/>
    <w:rsid w:val="000B4A77"/>
    <w:rsid w:val="00104A50"/>
    <w:rsid w:val="001215C4"/>
    <w:rsid w:val="001467FE"/>
    <w:rsid w:val="00161D51"/>
    <w:rsid w:val="00181A0E"/>
    <w:rsid w:val="00192EF1"/>
    <w:rsid w:val="0019589C"/>
    <w:rsid w:val="001C7510"/>
    <w:rsid w:val="001F4076"/>
    <w:rsid w:val="00205537"/>
    <w:rsid w:val="0021591B"/>
    <w:rsid w:val="00245C9F"/>
    <w:rsid w:val="00246A35"/>
    <w:rsid w:val="00251C59"/>
    <w:rsid w:val="0025474A"/>
    <w:rsid w:val="002B20E6"/>
    <w:rsid w:val="002E6C38"/>
    <w:rsid w:val="00326539"/>
    <w:rsid w:val="00337DA3"/>
    <w:rsid w:val="00343181"/>
    <w:rsid w:val="00352024"/>
    <w:rsid w:val="0035593E"/>
    <w:rsid w:val="003622C0"/>
    <w:rsid w:val="00375BB2"/>
    <w:rsid w:val="003B09A9"/>
    <w:rsid w:val="003B7586"/>
    <w:rsid w:val="003E1CBE"/>
    <w:rsid w:val="00415678"/>
    <w:rsid w:val="00436A96"/>
    <w:rsid w:val="00436BFC"/>
    <w:rsid w:val="00460131"/>
    <w:rsid w:val="004A347D"/>
    <w:rsid w:val="004C6A03"/>
    <w:rsid w:val="004D1D52"/>
    <w:rsid w:val="004F11D1"/>
    <w:rsid w:val="004F70CF"/>
    <w:rsid w:val="00506511"/>
    <w:rsid w:val="00533110"/>
    <w:rsid w:val="005360A1"/>
    <w:rsid w:val="0055043C"/>
    <w:rsid w:val="00551D0B"/>
    <w:rsid w:val="005755A9"/>
    <w:rsid w:val="00582F00"/>
    <w:rsid w:val="00591A03"/>
    <w:rsid w:val="005C3EB1"/>
    <w:rsid w:val="005D7628"/>
    <w:rsid w:val="005E7D40"/>
    <w:rsid w:val="005F01DE"/>
    <w:rsid w:val="005F5362"/>
    <w:rsid w:val="00620ED3"/>
    <w:rsid w:val="006322D3"/>
    <w:rsid w:val="006561CB"/>
    <w:rsid w:val="00670A22"/>
    <w:rsid w:val="0068547F"/>
    <w:rsid w:val="00693B32"/>
    <w:rsid w:val="006D5422"/>
    <w:rsid w:val="006F1698"/>
    <w:rsid w:val="007301E5"/>
    <w:rsid w:val="00731329"/>
    <w:rsid w:val="00737008"/>
    <w:rsid w:val="007C18C8"/>
    <w:rsid w:val="007C55F1"/>
    <w:rsid w:val="00841944"/>
    <w:rsid w:val="00874CD8"/>
    <w:rsid w:val="00876980"/>
    <w:rsid w:val="008B0392"/>
    <w:rsid w:val="008B577C"/>
    <w:rsid w:val="008C095B"/>
    <w:rsid w:val="008C4906"/>
    <w:rsid w:val="008D7BF0"/>
    <w:rsid w:val="008E747B"/>
    <w:rsid w:val="008F613C"/>
    <w:rsid w:val="0090722F"/>
    <w:rsid w:val="00921366"/>
    <w:rsid w:val="00933ECB"/>
    <w:rsid w:val="009670EB"/>
    <w:rsid w:val="00967C3C"/>
    <w:rsid w:val="00973B94"/>
    <w:rsid w:val="00984E1E"/>
    <w:rsid w:val="009A5D70"/>
    <w:rsid w:val="009B5AD8"/>
    <w:rsid w:val="009E3F6B"/>
    <w:rsid w:val="00A109AC"/>
    <w:rsid w:val="00A27D02"/>
    <w:rsid w:val="00A37ABD"/>
    <w:rsid w:val="00A601B5"/>
    <w:rsid w:val="00A64746"/>
    <w:rsid w:val="00A65397"/>
    <w:rsid w:val="00A824FD"/>
    <w:rsid w:val="00AB3C42"/>
    <w:rsid w:val="00AB4036"/>
    <w:rsid w:val="00AC14B7"/>
    <w:rsid w:val="00AD165A"/>
    <w:rsid w:val="00AE1819"/>
    <w:rsid w:val="00B15609"/>
    <w:rsid w:val="00B41FDE"/>
    <w:rsid w:val="00B46103"/>
    <w:rsid w:val="00B57BC0"/>
    <w:rsid w:val="00B866FD"/>
    <w:rsid w:val="00B911AF"/>
    <w:rsid w:val="00B9452E"/>
    <w:rsid w:val="00BA428C"/>
    <w:rsid w:val="00BD4F4B"/>
    <w:rsid w:val="00BE2AF1"/>
    <w:rsid w:val="00BF6A5E"/>
    <w:rsid w:val="00C20264"/>
    <w:rsid w:val="00C262CC"/>
    <w:rsid w:val="00C317CC"/>
    <w:rsid w:val="00C432BF"/>
    <w:rsid w:val="00C43EA8"/>
    <w:rsid w:val="00C5731C"/>
    <w:rsid w:val="00C77426"/>
    <w:rsid w:val="00C86309"/>
    <w:rsid w:val="00CA7C9D"/>
    <w:rsid w:val="00CB3EB0"/>
    <w:rsid w:val="00CE027F"/>
    <w:rsid w:val="00D02992"/>
    <w:rsid w:val="00D02B92"/>
    <w:rsid w:val="00D17397"/>
    <w:rsid w:val="00D37E11"/>
    <w:rsid w:val="00D66AF1"/>
    <w:rsid w:val="00D96076"/>
    <w:rsid w:val="00DA449B"/>
    <w:rsid w:val="00DD6DE3"/>
    <w:rsid w:val="00DE095F"/>
    <w:rsid w:val="00DE3FCA"/>
    <w:rsid w:val="00DF7219"/>
    <w:rsid w:val="00E277B8"/>
    <w:rsid w:val="00E609E8"/>
    <w:rsid w:val="00E806E7"/>
    <w:rsid w:val="00E96231"/>
    <w:rsid w:val="00EF7A72"/>
    <w:rsid w:val="00F046A3"/>
    <w:rsid w:val="00F15647"/>
    <w:rsid w:val="00F17057"/>
    <w:rsid w:val="00F34CB6"/>
    <w:rsid w:val="00F40CCA"/>
    <w:rsid w:val="00F45110"/>
    <w:rsid w:val="00F500FD"/>
    <w:rsid w:val="00F67763"/>
    <w:rsid w:val="00F746D4"/>
    <w:rsid w:val="00F82041"/>
    <w:rsid w:val="00F923E2"/>
    <w:rsid w:val="00FA6780"/>
    <w:rsid w:val="00FE3FAF"/>
    <w:rsid w:val="00FF318F"/>
    <w:rsid w:val="00FF4575"/>
    <w:rsid w:val="02663C10"/>
    <w:rsid w:val="02FF1CB1"/>
    <w:rsid w:val="13E248F7"/>
    <w:rsid w:val="163A542C"/>
    <w:rsid w:val="20965B75"/>
    <w:rsid w:val="21D04230"/>
    <w:rsid w:val="223D55C6"/>
    <w:rsid w:val="26CA1559"/>
    <w:rsid w:val="26DA69C1"/>
    <w:rsid w:val="286277DC"/>
    <w:rsid w:val="2CB027DA"/>
    <w:rsid w:val="2D7F5397"/>
    <w:rsid w:val="2F3329C6"/>
    <w:rsid w:val="30F43FCD"/>
    <w:rsid w:val="3174379F"/>
    <w:rsid w:val="3B48205A"/>
    <w:rsid w:val="3C267A4B"/>
    <w:rsid w:val="3D4D1BB0"/>
    <w:rsid w:val="3E650CCC"/>
    <w:rsid w:val="3F89441C"/>
    <w:rsid w:val="412E6FDC"/>
    <w:rsid w:val="42266896"/>
    <w:rsid w:val="427B1B70"/>
    <w:rsid w:val="43BF4FBD"/>
    <w:rsid w:val="46C402DF"/>
    <w:rsid w:val="47BC138E"/>
    <w:rsid w:val="4CA23598"/>
    <w:rsid w:val="4EF12A2A"/>
    <w:rsid w:val="5260313F"/>
    <w:rsid w:val="57A52083"/>
    <w:rsid w:val="5D0D70D4"/>
    <w:rsid w:val="5E6B546F"/>
    <w:rsid w:val="6440665D"/>
    <w:rsid w:val="66A216B8"/>
    <w:rsid w:val="69F24818"/>
    <w:rsid w:val="74E96243"/>
    <w:rsid w:val="75077A58"/>
    <w:rsid w:val="775959AD"/>
    <w:rsid w:val="79574A72"/>
    <w:rsid w:val="7A593CAC"/>
    <w:rsid w:val="7AC61529"/>
    <w:rsid w:val="7E1B519C"/>
    <w:rsid w:val="7F3A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unhideWhenUsed="0" w:qFormat="1"/>
    <w:lsdException w:name="toc 3" w:semiHidden="0" w:uiPriority="39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toc 1"/>
    <w:basedOn w:val="a"/>
    <w:next w:val="a"/>
    <w:uiPriority w:val="39"/>
    <w:unhideWhenUsed/>
    <w:qFormat/>
    <w:pPr>
      <w:tabs>
        <w:tab w:val="right" w:leader="underscore" w:pos="14560"/>
      </w:tabs>
      <w:spacing w:after="100"/>
    </w:pPr>
    <w:rPr>
      <w:b/>
    </w:rPr>
  </w:style>
  <w:style w:type="paragraph" w:styleId="21">
    <w:name w:val="toc 2"/>
    <w:basedOn w:val="a"/>
    <w:next w:val="a"/>
    <w:uiPriority w:val="39"/>
    <w:qFormat/>
    <w:pPr>
      <w:tabs>
        <w:tab w:val="right" w:leader="underscore" w:pos="14601"/>
      </w:tabs>
      <w:spacing w:before="120" w:after="0" w:line="240" w:lineRule="auto"/>
      <w:ind w:left="567" w:hanging="240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">
    <w:name w:val="toc 3"/>
    <w:basedOn w:val="a"/>
    <w:next w:val="a"/>
    <w:uiPriority w:val="39"/>
    <w:qFormat/>
    <w:pPr>
      <w:tabs>
        <w:tab w:val="right" w:leader="underscore" w:pos="9923"/>
      </w:tabs>
      <w:spacing w:after="0" w:line="240" w:lineRule="auto"/>
      <w:ind w:left="284" w:hanging="14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c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e">
    <w:name w:val="Table Grid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qFormat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</w:rPr>
  </w:style>
  <w:style w:type="paragraph" w:customStyle="1" w:styleId="ConsPlusCell">
    <w:name w:val="ConsPlusCell"/>
    <w:qFormat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qFormat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</w:rPr>
  </w:style>
  <w:style w:type="paragraph" w:customStyle="1" w:styleId="ConsPlusJurTerm">
    <w:name w:val="ConsPlusJurTerm"/>
    <w:qFormat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</w:rPr>
  </w:style>
  <w:style w:type="character" w:customStyle="1" w:styleId="a8">
    <w:name w:val="Текст сноски Знак"/>
    <w:basedOn w:val="a0"/>
    <w:link w:val="a7"/>
    <w:uiPriority w:val="99"/>
    <w:semiHidden/>
    <w:qFormat/>
    <w:rPr>
      <w:sz w:val="20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9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  <w:style w:type="paragraph" w:styleId="af">
    <w:name w:val="List Paragraph"/>
    <w:basedOn w:val="a"/>
    <w:link w:val="af0"/>
    <w:uiPriority w:val="34"/>
    <w:qFormat/>
    <w:pPr>
      <w:ind w:left="720"/>
      <w:contextualSpacing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qFormat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0">
    <w:name w:val="Абзац списка Знак"/>
    <w:link w:val="af"/>
    <w:uiPriority w:val="34"/>
    <w:qFormat/>
  </w:style>
  <w:style w:type="paragraph" w:customStyle="1" w:styleId="headertext">
    <w:name w:val="header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qFormat/>
    <w:pPr>
      <w:spacing w:before="100" w:beforeAutospacing="1" w:after="100" w:afterAutospacing="1" w:line="273" w:lineRule="auto"/>
    </w:pPr>
    <w:rPr>
      <w:rFonts w:ascii="Calibri" w:eastAsia="Times New Roman" w:hAnsi="Calibri"/>
      <w:sz w:val="24"/>
      <w:szCs w:val="24"/>
    </w:rPr>
  </w:style>
  <w:style w:type="paragraph" w:customStyle="1" w:styleId="HEADERTEXT0">
    <w:name w:val=".HEADERTEXT"/>
    <w:next w:val="a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2B4279"/>
      <w:lang w:eastAsia="hi-IN" w:bidi="hi-IN"/>
    </w:rPr>
  </w:style>
  <w:style w:type="paragraph" w:customStyle="1" w:styleId="FORMATTEXT0">
    <w:name w:val=".FORMATTEXT"/>
    <w:next w:val="a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unhideWhenUsed="0" w:qFormat="1"/>
    <w:lsdException w:name="toc 3" w:semiHidden="0" w:uiPriority="39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toc 1"/>
    <w:basedOn w:val="a"/>
    <w:next w:val="a"/>
    <w:uiPriority w:val="39"/>
    <w:unhideWhenUsed/>
    <w:qFormat/>
    <w:pPr>
      <w:tabs>
        <w:tab w:val="right" w:leader="underscore" w:pos="14560"/>
      </w:tabs>
      <w:spacing w:after="100"/>
    </w:pPr>
    <w:rPr>
      <w:b/>
    </w:rPr>
  </w:style>
  <w:style w:type="paragraph" w:styleId="21">
    <w:name w:val="toc 2"/>
    <w:basedOn w:val="a"/>
    <w:next w:val="a"/>
    <w:uiPriority w:val="39"/>
    <w:qFormat/>
    <w:pPr>
      <w:tabs>
        <w:tab w:val="right" w:leader="underscore" w:pos="14601"/>
      </w:tabs>
      <w:spacing w:before="120" w:after="0" w:line="240" w:lineRule="auto"/>
      <w:ind w:left="567" w:hanging="240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">
    <w:name w:val="toc 3"/>
    <w:basedOn w:val="a"/>
    <w:next w:val="a"/>
    <w:uiPriority w:val="39"/>
    <w:qFormat/>
    <w:pPr>
      <w:tabs>
        <w:tab w:val="right" w:leader="underscore" w:pos="9923"/>
      </w:tabs>
      <w:spacing w:after="0" w:line="240" w:lineRule="auto"/>
      <w:ind w:left="284" w:hanging="14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c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e">
    <w:name w:val="Table Grid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qFormat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</w:rPr>
  </w:style>
  <w:style w:type="paragraph" w:customStyle="1" w:styleId="ConsPlusCell">
    <w:name w:val="ConsPlusCell"/>
    <w:qFormat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qFormat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</w:rPr>
  </w:style>
  <w:style w:type="paragraph" w:customStyle="1" w:styleId="ConsPlusJurTerm">
    <w:name w:val="ConsPlusJurTerm"/>
    <w:qFormat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</w:rPr>
  </w:style>
  <w:style w:type="character" w:customStyle="1" w:styleId="a8">
    <w:name w:val="Текст сноски Знак"/>
    <w:basedOn w:val="a0"/>
    <w:link w:val="a7"/>
    <w:uiPriority w:val="99"/>
    <w:semiHidden/>
    <w:qFormat/>
    <w:rPr>
      <w:sz w:val="20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9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  <w:style w:type="paragraph" w:styleId="af">
    <w:name w:val="List Paragraph"/>
    <w:basedOn w:val="a"/>
    <w:link w:val="af0"/>
    <w:uiPriority w:val="34"/>
    <w:qFormat/>
    <w:pPr>
      <w:ind w:left="720"/>
      <w:contextualSpacing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qFormat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0">
    <w:name w:val="Абзац списка Знак"/>
    <w:link w:val="af"/>
    <w:uiPriority w:val="34"/>
    <w:qFormat/>
  </w:style>
  <w:style w:type="paragraph" w:customStyle="1" w:styleId="headertext">
    <w:name w:val="header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qFormat/>
    <w:pPr>
      <w:spacing w:before="100" w:beforeAutospacing="1" w:after="100" w:afterAutospacing="1" w:line="273" w:lineRule="auto"/>
    </w:pPr>
    <w:rPr>
      <w:rFonts w:ascii="Calibri" w:eastAsia="Times New Roman" w:hAnsi="Calibri"/>
      <w:sz w:val="24"/>
      <w:szCs w:val="24"/>
    </w:rPr>
  </w:style>
  <w:style w:type="paragraph" w:customStyle="1" w:styleId="HEADERTEXT0">
    <w:name w:val=".HEADERTEXT"/>
    <w:next w:val="a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2B4279"/>
      <w:lang w:eastAsia="hi-IN" w:bidi="hi-IN"/>
    </w:rPr>
  </w:style>
  <w:style w:type="paragraph" w:customStyle="1" w:styleId="FORMATTEXT0">
    <w:name w:val=".FORMATTEXT"/>
    <w:next w:val="a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vrelektro.ru/2019.html" TargetMode="External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chart" Target="charts/chart1.xml"/><Relationship Id="rId2" Type="http://schemas.openxmlformats.org/officeDocument/2006/relationships/customXml" Target="../customXml/item2.xml"/><Relationship Id="rId16" Type="http://schemas.openxmlformats.org/officeDocument/2006/relationships/hyperlink" Target="mailto: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 rot="0" spcFirstLastPara="0" vertOverflow="ellipsis" vert="horz" wrap="square" anchor="ctr" anchorCtr="1"/>
        <a:lstStyle/>
        <a:p>
          <a:pPr>
            <a:defRPr lang="en-US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 вопрос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cat>
            <c:strRef>
              <c:f>Лист1!$A$2:$A$4</c:f>
              <c:strCache>
                <c:ptCount val="3"/>
                <c:pt idx="0">
                  <c:v>хорошо</c:v>
                </c:pt>
                <c:pt idx="1">
                  <c:v>удовлетворительно</c:v>
                </c:pt>
                <c:pt idx="2">
                  <c:v>неудовлетворительно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  <c:txPr>
        <a:bodyPr rot="0" spcFirstLastPara="0" vertOverflow="ellipsis" vert="horz" wrap="square" anchor="ctr" anchorCtr="1"/>
        <a:lstStyle/>
        <a:p>
          <a:pPr>
            <a:defRPr lang="en-US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lang="en-US"/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en-US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2 вопрос</a:t>
            </a:r>
          </a:p>
        </c:rich>
      </c:tx>
      <c:layout>
        <c:manualLayout>
          <c:xMode val="edge"/>
          <c:yMode val="edge"/>
          <c:x val="0.44657990667833197"/>
          <c:y val="3.5714285714285698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cat>
            <c:strRef>
              <c:f>Лист1!$A$2:$A$4</c:f>
              <c:strCache>
                <c:ptCount val="3"/>
                <c:pt idx="0">
                  <c:v>хорошо</c:v>
                </c:pt>
                <c:pt idx="1">
                  <c:v>удовлетворительно</c:v>
                </c:pt>
                <c:pt idx="2">
                  <c:v>неудовлетворительно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 rot="0" spcFirstLastPara="0" vertOverflow="ellipsis" vert="horz" wrap="square" anchor="ctr" anchorCtr="1"/>
        <a:lstStyle/>
        <a:p>
          <a:pPr>
            <a:defRPr lang="en-US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lang="en-US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 rot="0" spcFirstLastPara="0" vertOverflow="ellipsis" vert="horz" wrap="square" anchor="ctr" anchorCtr="1"/>
        <a:lstStyle/>
        <a:p>
          <a:pPr>
            <a:defRPr lang="en-US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9360139154203402E-2"/>
          <c:y val="0.17376834417437001"/>
          <c:w val="0.47149885850067602"/>
          <c:h val="0.69289832249229699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3 вопрос</c:v>
                </c:pt>
              </c:strCache>
            </c:strRef>
          </c:tx>
          <c:explosion val="1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cat>
            <c:strRef>
              <c:f>Лист1!$A$2:$A$4</c:f>
              <c:strCache>
                <c:ptCount val="3"/>
                <c:pt idx="0">
                  <c:v>хорошо</c:v>
                </c:pt>
                <c:pt idx="1">
                  <c:v>удовлетворительно</c:v>
                </c:pt>
                <c:pt idx="2">
                  <c:v>неудовлетворительно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  <c:txPr>
        <a:bodyPr rot="0" spcFirstLastPara="0" vertOverflow="ellipsis" vert="horz" wrap="square" anchor="ctr" anchorCtr="1"/>
        <a:lstStyle/>
        <a:p>
          <a:pPr>
            <a:defRPr lang="en-US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lang="en-US"/>
      </a:pPr>
      <a:endParaRPr lang="ru-RU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0.32826</cdr:x>
      <cdr:y>0.57522</cdr:y>
    </cdr:from>
    <cdr:to>
      <cdr:x>0.44783</cdr:x>
      <cdr:y>0.79646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1438275" y="1238250"/>
          <a:ext cx="523875" cy="476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horz" wrap="none" lIns="45720" tIns="45720" rIns="45720" bIns="45720" rtlCol="0" anchor="t" anchorCtr="0">
          <a:normAutofit/>
        </a:bodyPr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DB0605-C027-4444-A532-287866C03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18</Pages>
  <Words>2883</Words>
  <Characters>16438</Characters>
  <Application>Microsoft Office Word</Application>
  <DocSecurity>0</DocSecurity>
  <Lines>136</Lines>
  <Paragraphs>38</Paragraphs>
  <ScaleCrop>false</ScaleCrop>
  <Company/>
  <LinksUpToDate>false</LinksUpToDate>
  <CharactersWithSpaces>19283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Тюкша Константин Генрихович</dc:creator>
  <cp:lastModifiedBy>Сергей</cp:lastModifiedBy>
  <cp:revision>64</cp:revision>
  <cp:lastPrinted>2019-03-27T10:28:00Z</cp:lastPrinted>
  <dcterms:created xsi:type="dcterms:W3CDTF">2019-03-29T08:36:00Z</dcterms:created>
  <dcterms:modified xsi:type="dcterms:W3CDTF">2020-03-29T16:40:00Z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