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Приложение N 7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к Единым стандартам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качества обслуживания сетевыми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организациями потребителей</w:t>
      </w:r>
    </w:p>
    <w:p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услуг сетевых организаций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Информация о качестве обслуживания потребителей услуг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ООО «Ставропольская электросеть» за 2020 год</w:t>
      </w:r>
    </w:p>
    <w:p>
      <w:pPr>
        <w:keepNext/>
        <w:keepLines/>
        <w:spacing w:before="480" w:after="0" w:line="200" w:lineRule="atLeast"/>
        <w:outlineLvl w:val="0"/>
        <w:rPr>
          <w:rFonts w:ascii="Times New Roman" w:hAnsi="Times New Roman" w:cs="Times New Roman" w:eastAsiaTheme="majorEastAsia"/>
          <w:b/>
          <w:bCs/>
        </w:rPr>
      </w:pPr>
      <w:bookmarkStart w:id="0" w:name="_Toc4759820"/>
      <w:r>
        <w:rPr>
          <w:rFonts w:ascii="Times New Roman" w:hAnsi="Times New Roman" w:cs="Times New Roman" w:eastAsiaTheme="majorEastAsia"/>
          <w:b/>
          <w:bCs/>
        </w:rPr>
        <w:t>1. Общая информация о сетевой организации</w:t>
      </w:r>
      <w:bookmarkEnd w:id="0"/>
    </w:p>
    <w:p>
      <w:pPr>
        <w:keepNext/>
        <w:keepLines/>
        <w:spacing w:before="200" w:after="0" w:line="200" w:lineRule="atLeast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" w:name="_Toc4759821"/>
      <w:r>
        <w:rPr>
          <w:rFonts w:ascii="Times New Roman" w:hAnsi="Times New Roman" w:cs="Times New Roman" w:eastAsiaTheme="majorEastAsia"/>
          <w:b/>
          <w:bCs/>
        </w:rPr>
        <w:t xml:space="preserve">1.1. Информация о количестве потребителей услуг </w:t>
      </w:r>
      <w:r>
        <w:rPr>
          <w:rFonts w:ascii="Times New Roman" w:hAnsi="Times New Roman" w:eastAsia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hAnsi="Times New Roman" w:cs="Times New Roman" w:eastAsiaTheme="majorEastAsia"/>
          <w:b/>
          <w:bCs/>
        </w:rPr>
        <w:t xml:space="preserve"> в границах балансовой принадлежности.</w:t>
      </w:r>
      <w:bookmarkEnd w:id="1"/>
    </w:p>
    <w:p>
      <w:pPr>
        <w:spacing w:line="200" w:lineRule="atLeast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</w:rPr>
        <w:t>Количество потребителей услуг сетевой организации (далее- потребители) с разбивкой по уровням напряжения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(ВН-0, СН2-13, НН-2819),</w:t>
      </w:r>
      <w:r>
        <w:rPr>
          <w:rFonts w:ascii="Times New Roman" w:hAnsi="Times New Roman" w:cs="Times New Roman" w:eastAsiaTheme="majorEastAsia"/>
        </w:rPr>
        <w:t xml:space="preserve"> к категориям надежности (категория надежности-3) и типу потребителей (физические и юридические (2685)), а также динамика по отношению к году, предшествующему отчетному  (количество увеличилось на 13,7 %).</w:t>
      </w:r>
    </w:p>
    <w:p>
      <w:pPr>
        <w:spacing w:line="200" w:lineRule="atLeast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1.2. Информация о количестве точек поставки в границах балансовой принадлежности и оснащенности приборами учета</w:t>
      </w:r>
    </w:p>
    <w:p>
      <w:pPr>
        <w:widowControl w:val="0"/>
        <w:autoSpaceDE w:val="0"/>
        <w:autoSpaceDN w:val="0"/>
        <w:spacing w:after="0" w:line="200" w:lineRule="atLeast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Количество точек поставки всего 2832 и точек поставки, оборудованных приборами учета электрической энергии 2832, динамика по отношению к году, предшествующему отчетному 2507  (+12,96%)</w:t>
      </w: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" w:name="_Toc4759822"/>
      <w:r>
        <w:rPr>
          <w:rFonts w:ascii="Times New Roman" w:hAnsi="Times New Roman" w:cs="Times New Roman" w:eastAsiaTheme="majorEastAsia"/>
          <w:b/>
          <w:bCs/>
        </w:rPr>
        <w:t>1.3. Информация об объектах электросетевого хозяйства сетевой организации.</w:t>
      </w:r>
      <w:bookmarkEnd w:id="2"/>
    </w:p>
    <w:tbl>
      <w:tblPr>
        <w:tblStyle w:val="15"/>
        <w:tblW w:w="143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32"/>
        <w:gridCol w:w="1429"/>
        <w:gridCol w:w="1710"/>
        <w:gridCol w:w="1634"/>
        <w:gridCol w:w="1736"/>
        <w:gridCol w:w="1557"/>
        <w:gridCol w:w="1634"/>
        <w:gridCol w:w="1429"/>
        <w:gridCol w:w="155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6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длина воздушных линий, км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длина кабельных линий, км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НН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СН2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НН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20,200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98,810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15,830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21,601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110,753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15,995</w:t>
            </w:r>
          </w:p>
        </w:tc>
      </w:tr>
    </w:tbl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</w:p>
    <w:tbl>
      <w:tblPr>
        <w:tblStyle w:val="15"/>
        <w:tblW w:w="14459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90"/>
        <w:gridCol w:w="3225"/>
        <w:gridCol w:w="3858"/>
        <w:gridCol w:w="368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0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количество подстанций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110кВ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35кВ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6(10)кВ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Динамика изменений, %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</w:tbl>
    <w:p>
      <w:pPr>
        <w:keepNext/>
        <w:keepLines/>
        <w:spacing w:after="0" w:line="240" w:lineRule="auto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3" w:name="_Toc4759823"/>
      <w:r>
        <w:rPr>
          <w:rFonts w:ascii="Times New Roman" w:hAnsi="Times New Roman" w:cs="Times New Roman" w:eastAsiaTheme="majorEastAsia"/>
          <w:b/>
          <w:bCs/>
        </w:rPr>
        <w:t xml:space="preserve">1.4. Уровень физического износа объектов электросетевого хозяйства </w:t>
      </w:r>
      <w:r>
        <w:rPr>
          <w:rFonts w:ascii="Times New Roman" w:hAnsi="Times New Roman" w:eastAsia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hAnsi="Times New Roman" w:cs="Times New Roman" w:eastAsiaTheme="majorEastAsia"/>
          <w:b/>
          <w:bCs/>
        </w:rPr>
        <w:t>.</w:t>
      </w:r>
      <w:bookmarkEnd w:id="3"/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>Уровень физического износа объектов электросетевого хозяйства сетевой организации,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>
      <w:pPr>
        <w:keepNext/>
        <w:keepLines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</w:p>
    <w:tbl>
      <w:tblPr>
        <w:tblStyle w:val="15"/>
        <w:tblW w:w="14459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90"/>
        <w:gridCol w:w="3225"/>
        <w:gridCol w:w="3858"/>
        <w:gridCol w:w="368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0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Уровень физического износа, годы,%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Динамика изменения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 показателя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Износ сетей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47,89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48,32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+1,13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2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Износ оборудования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41,11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+2,4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</w:p>
    <w:p>
      <w:pPr>
        <w:keepNext/>
        <w:keepLines/>
        <w:pageBreakBefore/>
        <w:spacing w:after="0" w:line="240" w:lineRule="auto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</w:p>
    <w:p>
      <w:pPr>
        <w:keepNext/>
        <w:keepLines/>
        <w:spacing w:after="0" w:line="240" w:lineRule="auto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bookmarkStart w:id="4" w:name="_Toc4759824"/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2. Информация о качестве услуг по передаче электрической энергии</w:t>
      </w:r>
      <w:bookmarkEnd w:id="4"/>
    </w:p>
    <w:p>
      <w:pPr>
        <w:keepNext/>
        <w:keepLines/>
        <w:spacing w:after="0" w:line="240" w:lineRule="auto"/>
        <w:outlineLvl w:val="1"/>
        <w:rPr>
          <w:rFonts w:ascii="Times New Roman" w:hAnsi="Times New Roman" w:cs="Times New Roman" w:eastAsiaTheme="majorEastAsia"/>
          <w:bCs/>
          <w:sz w:val="24"/>
          <w:szCs w:val="24"/>
        </w:rPr>
      </w:pPr>
      <w:bookmarkStart w:id="5" w:name="P37"/>
      <w:bookmarkEnd w:id="5"/>
      <w:bookmarkStart w:id="6" w:name="_Toc4759825"/>
      <w:r>
        <w:rPr>
          <w:rFonts w:ascii="Times New Roman" w:hAnsi="Times New Roman" w:cs="Times New Roman" w:eastAsiaTheme="majorEastAsia"/>
          <w:bCs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  <w:bookmarkEnd w:id="6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15"/>
        <w:tblW w:w="1402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0"/>
        <w:gridCol w:w="9942"/>
        <w:gridCol w:w="1036"/>
        <w:gridCol w:w="10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" w:hRule="atLeast"/>
        </w:trPr>
        <w:tc>
          <w:tcPr>
            <w:tcW w:w="69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994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Значение показателя,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2" w:hRule="atLeast"/>
        </w:trPr>
        <w:tc>
          <w:tcPr>
            <w:tcW w:w="69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N-1</w:t>
            </w:r>
          </w:p>
        </w:tc>
        <w:tc>
          <w:tcPr>
            <w:tcW w:w="108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N (текущий год)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Динамика изменения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Times New Roman" w:hAnsi="Times New Roman" w:eastAsia="Times New Roman" w:cs="Times New Roman"/>
                <w:szCs w:val="20"/>
                <w:vertAlign w:val="superscript"/>
                <w:lang w:eastAsia="ru-RU"/>
              </w:rPr>
              <w:footnoteReference w:id="0"/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12" name="Рисунок 12" descr="base_1_185935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base_1_185935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11" name="Рисунок 11" descr="base_1_185935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base_1_185935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10" name="Рисунок 10" descr="base_1_185935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base_1_185935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9" name="Рисунок 9" descr="base_1_185935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base_1_185935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ВН (110 кВ и выше)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СН1 (35 - 60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4.3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СН2 (1 - 20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4.4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НН (до 1 кВ)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 , шт.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>5.1</w:t>
            </w:r>
          </w:p>
        </w:tc>
        <w:tc>
          <w:tcPr>
            <w:tcW w:w="99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 </w:t>
            </w:r>
          </w:p>
        </w:tc>
        <w:tc>
          <w:tcPr>
            <w:tcW w:w="1036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  <w:bookmarkStart w:id="7" w:name="_Toc4759826"/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eastAsiaTheme="majorEastAsia"/>
          <w:b/>
          <w:bCs/>
        </w:rPr>
        <w:t>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bookmarkEnd w:id="7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15"/>
        <w:tblW w:w="1513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3"/>
        <w:gridCol w:w="1649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  <w:gridCol w:w="553"/>
        <w:gridCol w:w="594"/>
        <w:gridCol w:w="514"/>
        <w:gridCol w:w="553"/>
        <w:gridCol w:w="554"/>
        <w:gridCol w:w="554"/>
        <w:gridCol w:w="518"/>
        <w:gridCol w:w="252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Структурная единица сетевой организации </w:t>
            </w:r>
          </w:p>
        </w:tc>
        <w:tc>
          <w:tcPr>
            <w:tcW w:w="2214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6" name="Рисунок 6" descr="base_1_185935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base_1_185935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Показатель средней частоты прекращений передачи электрической энергии,⃰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5" name="Рисунок 5" descr="base_1_185935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base_1_185935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4" name="Рисунок 4" descr="base_1_185935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1_185935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9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3" name="Рисунок 3" descr="base_1_185935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1_185935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нарушение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694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5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2527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2" w:hRule="atLeast"/>
        </w:trPr>
        <w:tc>
          <w:tcPr>
            <w:tcW w:w="4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4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ООО «Ставропольская электросеть»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>
            <w:pPr>
              <w:pStyle w:val="19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7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8" w:name="_Toc4759827"/>
      <w:r>
        <w:rPr>
          <w:rFonts w:ascii="Times New Roman" w:hAnsi="Times New Roman" w:cs="Times New Roman" w:eastAsiaTheme="majorEastAsia"/>
          <w:b/>
          <w:bCs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  <w:bookmarkEnd w:id="8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Cs/>
        </w:rPr>
      </w:pPr>
      <w:bookmarkStart w:id="9" w:name="_Toc4759828"/>
      <w:r>
        <w:rPr>
          <w:rFonts w:ascii="Times New Roman" w:hAnsi="Times New Roman" w:cs="Times New Roman" w:eastAsiaTheme="majorEastAsia"/>
          <w:bCs/>
        </w:rPr>
        <w:t>Ежегодно производится капитальный и текущий ремонт электросетевого хозяйства.</w:t>
      </w: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  <w:bookmarkEnd w:id="9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Прочая информация отсутствует.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 w:eastAsiaTheme="majorEastAsia"/>
          <w:b/>
          <w:bCs/>
        </w:rPr>
      </w:pPr>
      <w:bookmarkStart w:id="10" w:name="_Toc4759829"/>
      <w:r>
        <w:rPr>
          <w:rFonts w:ascii="Times New Roman" w:hAnsi="Times New Roman" w:cs="Times New Roman" w:eastAsiaTheme="majorEastAsia"/>
          <w:b/>
          <w:bCs/>
        </w:rPr>
        <w:t>3. Информация о качестве услуг по технологическому присоединению</w:t>
      </w:r>
      <w:bookmarkEnd w:id="10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1" w:name="_Toc4759830"/>
      <w:r>
        <w:rPr>
          <w:rFonts w:ascii="Times New Roman" w:hAnsi="Times New Roman" w:cs="Times New Roman" w:eastAsiaTheme="majorEastAsia"/>
          <w:b/>
          <w:bCs/>
        </w:rPr>
        <w:t>3.1. Информация о наличии невостребованной мощности для осуществления технологического присоединения в отчетном периоде, а также о прогнозах ее увеличения.</w:t>
      </w:r>
      <w:bookmarkEnd w:id="11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«Ставропольская электросеть» по адресу: </w:t>
      </w:r>
      <w:r>
        <w:fldChar w:fldCharType="begin"/>
      </w:r>
      <w:r>
        <w:instrText xml:space="preserve"> HYPERLINK "http://stavrelektro.ru/2019.html" </w:instrText>
      </w:r>
      <w:r>
        <w:fldChar w:fldCharType="separate"/>
      </w:r>
      <w:r>
        <w:rPr>
          <w:rStyle w:val="14"/>
          <w:rFonts w:ascii="Times New Roman" w:hAnsi="Times New Roman" w:eastAsia="Times New Roman" w:cs="Times New Roman"/>
          <w:lang w:eastAsia="ru-RU"/>
        </w:rPr>
        <w:t>http://stavrelektro.ru/20</w:t>
      </w:r>
      <w:r>
        <w:rPr>
          <w:rStyle w:val="14"/>
          <w:rFonts w:ascii="Times New Roman" w:hAnsi="Times New Roman" w:eastAsia="Times New Roman" w:cs="Times New Roman"/>
          <w:lang w:val="en-US" w:eastAsia="ru-RU"/>
        </w:rPr>
        <w:t>20</w:t>
      </w:r>
      <w:r>
        <w:rPr>
          <w:rStyle w:val="14"/>
          <w:rFonts w:ascii="Times New Roman" w:hAnsi="Times New Roman" w:eastAsia="Times New Roman" w:cs="Times New Roman"/>
          <w:lang w:eastAsia="ru-RU"/>
        </w:rPr>
        <w:t>.html</w:t>
      </w:r>
      <w:r>
        <w:rPr>
          <w:rStyle w:val="14"/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>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2" w:name="_Toc4759831"/>
      <w:r>
        <w:rPr>
          <w:rFonts w:ascii="Times New Roman" w:hAnsi="Times New Roman" w:cs="Times New Roman" w:eastAsiaTheme="majorEastAsia"/>
          <w:b/>
          <w:bCs/>
        </w:rPr>
        <w:t>3.2. Мероприятия, выполненные сетевой организацией в целях совершенствования деяте</w:t>
      </w:r>
      <w:bookmarkStart w:id="29" w:name="_GoBack"/>
      <w:bookmarkEnd w:id="29"/>
      <w:r>
        <w:rPr>
          <w:rFonts w:ascii="Times New Roman" w:hAnsi="Times New Roman" w:cs="Times New Roman" w:eastAsiaTheme="majorEastAsia"/>
          <w:b/>
          <w:bCs/>
        </w:rPr>
        <w:t>льности по технологическому присоединению в 2020 году.</w:t>
      </w:r>
      <w:bookmarkEnd w:id="12"/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bookmarkStart w:id="13" w:name="_Toc4759832"/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возможность подачи заявки на технологическое присоединение сторонних потребителей в электронной форме;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повышена квалификация персонала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присоединению.</w:t>
      </w:r>
      <w:bookmarkEnd w:id="13"/>
    </w:p>
    <w:p>
      <w:pPr>
        <w:keepNext/>
        <w:keepLines/>
        <w:spacing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after="0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</w:t>
      </w:r>
      <w:bookmarkStart w:id="14" w:name="_Toc4759833"/>
      <w:r>
        <w:rPr>
          <w:rFonts w:ascii="Times New Roman" w:hAnsi="Times New Roman" w:eastAsia="Times New Roman" w:cs="Times New Roman"/>
          <w:lang w:eastAsia="ru-RU"/>
        </w:rPr>
        <w:t>скому присоединению отсутствует.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3.4. Сведения о качестве услуг по технологическому присоединению к электрическим сетям</w:t>
      </w:r>
      <w:bookmarkEnd w:id="14"/>
    </w:p>
    <w:p>
      <w:pPr>
        <w:keepNext/>
        <w:keepLines/>
        <w:spacing w:after="0"/>
        <w:outlineLvl w:val="1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15"/>
        <w:tblW w:w="1562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9"/>
        <w:gridCol w:w="740"/>
        <w:gridCol w:w="709"/>
        <w:gridCol w:w="851"/>
        <w:gridCol w:w="567"/>
        <w:gridCol w:w="708"/>
        <w:gridCol w:w="851"/>
        <w:gridCol w:w="567"/>
        <w:gridCol w:w="567"/>
        <w:gridCol w:w="850"/>
        <w:gridCol w:w="709"/>
        <w:gridCol w:w="498"/>
        <w:gridCol w:w="778"/>
        <w:gridCol w:w="698"/>
        <w:gridCol w:w="541"/>
        <w:gridCol w:w="745"/>
        <w:gridCol w:w="851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03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до 15 кВт включительно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свыше 15 кВт и до 150 кВт включительно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свыше 150 кВт и менее 670 кВт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не менее 670 кВт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 ,  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сторонних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 ,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 , 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по вине заявителя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 ,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-48,2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  <w:sectPr>
          <w:footerReference r:id="rId4" w:type="default"/>
          <w:footnotePr>
            <w:numFmt w:val="chicago"/>
            <w:numRestart w:val="eachPage"/>
          </w:footnotePr>
          <w:pgSz w:w="16838" w:h="11905" w:orient="landscape"/>
          <w:pgMar w:top="850" w:right="1134" w:bottom="851" w:left="1134" w:header="0" w:footer="0" w:gutter="0"/>
          <w:cols w:space="720" w:num="1"/>
          <w:docGrid w:linePitch="299" w:charSpace="0"/>
        </w:sectPr>
      </w:pP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5" w:name="_Toc4759834"/>
      <w:r>
        <w:rPr>
          <w:rFonts w:ascii="Times New Roman" w:hAnsi="Times New Roman" w:cs="Times New Roman" w:eastAsiaTheme="majorEastAsia"/>
          <w:b/>
          <w:bCs/>
        </w:rPr>
        <w:t>3.5. Стоимость технологического присоединения к электрическим сетям</w:t>
      </w:r>
      <w:bookmarkEnd w:id="15"/>
      <w:r>
        <w:rPr>
          <w:rFonts w:ascii="Times New Roman" w:hAnsi="Times New Roman" w:cs="Times New Roman" w:eastAsiaTheme="majorEastAsia"/>
          <w:b/>
          <w:bCs/>
        </w:rPr>
        <w:t>.</w:t>
      </w:r>
    </w:p>
    <w:p>
      <w:pPr>
        <w:rPr>
          <w:rFonts w:ascii="Times New Roman" w:hAnsi="Times New Roman" w:eastAsia="Times New Roman" w:cs="Times New Roman"/>
          <w:szCs w:val="20"/>
          <w:lang w:eastAsia="ru-RU"/>
        </w:rPr>
      </w:pPr>
    </w:p>
    <w:tbl>
      <w:tblPr>
        <w:tblStyle w:val="15"/>
        <w:tblW w:w="148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70"/>
        <w:gridCol w:w="1435"/>
        <w:gridCol w:w="1558"/>
        <w:gridCol w:w="902"/>
        <w:gridCol w:w="1558"/>
        <w:gridCol w:w="902"/>
        <w:gridCol w:w="1558"/>
        <w:gridCol w:w="902"/>
        <w:gridCol w:w="1558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Мощность энергопринимающих устройств заявителя, кВт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Расстояние до границ земельного участка заявителя, 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Тип линии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500 - сельская местность/300 - городская местность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>
      <w:pPr>
        <w:pStyle w:val="36"/>
        <w:rPr>
          <w:b/>
          <w:bCs/>
          <w:color w:val="000001"/>
        </w:rPr>
      </w:pPr>
      <w:r>
        <w:rPr>
          <w:b/>
          <w:bCs/>
          <w:color w:val="000001"/>
        </w:rPr>
        <w:t xml:space="preserve">  </w:t>
      </w:r>
    </w:p>
    <w:p>
      <w:pPr>
        <w:pStyle w:val="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1"/>
          <w:sz w:val="22"/>
          <w:szCs w:val="22"/>
        </w:rPr>
        <w:t>Стоимость технологического присоединения к электрическим сетям ООО «Ставропольская электросеть» рассчитывается по стандартизированным тарифным ставкам, установленным в соответствии с Приказом департамента ценового и тарифного регулирования Самарской области № 874 от 27.12.2019г.</w:t>
      </w:r>
    </w:p>
    <w:p>
      <w:pPr>
        <w:pStyle w:val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Единая стандартизированная тарифная ставка,  применяемая для определения оплаты за технологическое присоединение энергопринимающих устройств потребителей электроэнергии, объектов электросетевого хозяйства расположенных на территории Самарской области (в соответствии с приказом Департамента ценового и тарифного регулирования Самарской области № 874 от 27.12.2019г.) составляет – </w:t>
      </w:r>
      <w:r>
        <w:rPr>
          <w:b/>
          <w:sz w:val="22"/>
          <w:szCs w:val="22"/>
        </w:rPr>
        <w:t>13 627,29 руб. без НДС</w:t>
      </w:r>
      <w:r>
        <w:rPr>
          <w:sz w:val="22"/>
          <w:szCs w:val="22"/>
        </w:rPr>
        <w:t xml:space="preserve">  за одно присоединение;</w:t>
      </w:r>
    </w:p>
    <w:p>
      <w:pPr>
        <w:pStyle w:val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Ставка за единицу максимальной мощности,  применяемая для определения платы за технологическое присоединение энергопринимающих устройств максимальной мощности менее 8900 кВт и на уровне напряжения ниже 35 кВ, объектов электросетевого хозяйства расположенных на территории Самарской области (в соответствии с Приказом Департамента ценового и тарифного регулирования Самарской области № 874 от 27.12.2019г.) составляет – </w:t>
      </w:r>
      <w:r>
        <w:rPr>
          <w:b/>
          <w:sz w:val="22"/>
          <w:szCs w:val="22"/>
        </w:rPr>
        <w:t>605,02 руб./кВт без НДС</w:t>
      </w:r>
      <w:r>
        <w:rPr>
          <w:sz w:val="22"/>
          <w:szCs w:val="22"/>
        </w:rPr>
        <w:t xml:space="preserve">.  </w:t>
      </w:r>
    </w:p>
    <w:p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 w:eastAsiaTheme="majorEastAsia"/>
          <w:b/>
          <w:bCs/>
        </w:rPr>
      </w:pPr>
      <w:bookmarkStart w:id="16" w:name="_Toc4759835"/>
      <w:r>
        <w:rPr>
          <w:rFonts w:ascii="Times New Roman" w:hAnsi="Times New Roman" w:cs="Times New Roman" w:eastAsiaTheme="majorEastAsia"/>
          <w:b/>
          <w:bCs/>
        </w:rPr>
        <w:t>4. Качество обслуживания</w:t>
      </w:r>
      <w:bookmarkEnd w:id="16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17" w:name="P792"/>
      <w:bookmarkEnd w:id="17"/>
      <w:bookmarkStart w:id="18" w:name="_Toc4759836"/>
      <w:r>
        <w:rPr>
          <w:rFonts w:ascii="Times New Roman" w:hAnsi="Times New Roman" w:cs="Times New Roman" w:eastAsiaTheme="majorEastAsia"/>
          <w:b/>
          <w:bCs/>
        </w:rPr>
        <w:t>4.1. Количество обращений, поступивших в сетевую организацию,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bookmarkEnd w:id="18"/>
    </w:p>
    <w:tbl>
      <w:tblPr>
        <w:tblStyle w:val="15"/>
        <w:tblW w:w="1479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01"/>
        <w:gridCol w:w="633"/>
        <w:gridCol w:w="863"/>
        <w:gridCol w:w="1041"/>
        <w:gridCol w:w="633"/>
        <w:gridCol w:w="1009"/>
        <w:gridCol w:w="895"/>
        <w:gridCol w:w="550"/>
        <w:gridCol w:w="863"/>
        <w:gridCol w:w="1041"/>
        <w:gridCol w:w="550"/>
        <w:gridCol w:w="863"/>
        <w:gridCol w:w="1041"/>
        <w:gridCol w:w="854"/>
        <w:gridCol w:w="863"/>
        <w:gridCol w:w="1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27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Формы обслуживания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электрической 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(отключение электроэнергии, дополнительные услуги, контактная информация, энергосбытовая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прочее             (заявки на дополнительные услуги)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  <w:sz w:val="26"/>
          <w:szCs w:val="26"/>
        </w:rPr>
        <w:sectPr>
          <w:footerReference r:id="rId5" w:type="default"/>
          <w:pgSz w:w="16838" w:h="11905" w:orient="landscape"/>
          <w:pgMar w:top="1701" w:right="1134" w:bottom="851" w:left="1134" w:header="0" w:footer="0" w:gutter="0"/>
          <w:cols w:space="720" w:num="1"/>
          <w:docGrid w:linePitch="299" w:charSpace="0"/>
        </w:sectPr>
      </w:pPr>
      <w:bookmarkStart w:id="19" w:name="_Toc4759837"/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  <w:color w:val="0070C0"/>
        </w:rPr>
      </w:pPr>
      <w:r>
        <w:rPr>
          <w:rFonts w:ascii="Times New Roman" w:hAnsi="Times New Roman" w:cs="Times New Roman" w:eastAsiaTheme="majorEastAsia"/>
          <w:b/>
          <w:bCs/>
        </w:rPr>
        <w:t>4.2. Информация о деятельности офисов обслуживания потребителей</w:t>
      </w:r>
      <w:bookmarkEnd w:id="19"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Центр обслуживания клиентов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>445143, Самарская область, Ставропольский район, с. Подстепки, ул. Полевая, 80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>Тел. (8482) 939939, факс 959975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Интернет-приемная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Единый электронный почтовый ящик для приема и обработки сообщений клиентов - 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rPr>
          <w:rStyle w:val="14"/>
          <w:rFonts w:ascii="Times New Roman" w:hAnsi="Times New Roman" w:eastAsia="SimSun" w:cs="Times New Roman"/>
          <w:color w:val="auto"/>
        </w:rPr>
        <w:t>info@stavrelektro.ru</w:t>
      </w:r>
      <w:r>
        <w:rPr>
          <w:rStyle w:val="14"/>
          <w:rFonts w:ascii="Times New Roman" w:hAnsi="Times New Roman" w:eastAsia="SimSun" w:cs="Times New Roman"/>
          <w:color w:val="auto"/>
        </w:rPr>
        <w:fldChar w:fldCharType="end"/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b/>
          <w:lang w:eastAsia="zh-CN" w:bidi="ar"/>
        </w:rPr>
        <w:t>Единый круглосуточный центр обработки вызовов -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lang w:eastAsia="zh-CN" w:bidi="ar"/>
        </w:rPr>
        <w:t>(8482)939-939</w:t>
      </w: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0" w:name="_Toc4759838"/>
      <w:r>
        <w:rPr>
          <w:rFonts w:ascii="Times New Roman" w:hAnsi="Times New Roman" w:cs="Times New Roman" w:eastAsiaTheme="majorEastAsia"/>
          <w:b/>
          <w:bCs/>
        </w:rPr>
        <w:t>4.3. Информация о заочном обслуживании потребителей посредством телефонной связи.</w:t>
      </w:r>
      <w:bookmarkEnd w:id="2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hAnsi="Times New Roman" w:eastAsia="Times New Roman" w:cs="Times New Roman"/>
          <w:lang w:eastAsia="ru-RU"/>
        </w:rPr>
        <w:t>ООО «Ставропольская электросеть»</w:t>
      </w:r>
      <w:r>
        <w:rPr>
          <w:rFonts w:ascii="Times New Roman" w:hAnsi="Times New Roman" w:cs="Times New Roman"/>
        </w:rPr>
        <w:t xml:space="preserve"> в сети Интернет на странице http://stavrelektro.ru/</w:t>
      </w:r>
    </w:p>
    <w:tbl>
      <w:tblPr>
        <w:tblStyle w:val="15"/>
        <w:tblW w:w="935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"/>
        <w:gridCol w:w="5946"/>
        <w:gridCol w:w="141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N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9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номеров телефонов, выделенных для обслуживания потребителей: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 телефона по вопросам энергоснабжения: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номер телефона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(8482)939 939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по данной информации не ведется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2.1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2.2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21" w:name="P1289"/>
            <w:bookmarkEnd w:id="21"/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Среднее время ожидания ответа потребителем при телефонном вызове на выделенные номера телефонов за текущий период 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22" w:name="P1293"/>
            <w:bookmarkEnd w:id="22"/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594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00:01:57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3" w:name="_Toc4759839"/>
      <w:r>
        <w:rPr>
          <w:rFonts w:ascii="Times New Roman" w:hAnsi="Times New Roman" w:cs="Times New Roman" w:eastAsiaTheme="majorEastAsia"/>
          <w:b/>
          <w:bCs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r>
        <w:fldChar w:fldCharType="begin"/>
      </w:r>
      <w:r>
        <w:instrText xml:space="preserve"> HYPERLINK \l "P792" </w:instrText>
      </w:r>
      <w:r>
        <w:fldChar w:fldCharType="separate"/>
      </w:r>
      <w:r>
        <w:rPr>
          <w:rFonts w:ascii="Times New Roman" w:hAnsi="Times New Roman" w:cs="Times New Roman" w:eastAsiaTheme="majorEastAsia"/>
          <w:b/>
          <w:bCs/>
        </w:rPr>
        <w:t>пунктом 4.1</w:t>
      </w:r>
      <w:r>
        <w:rPr>
          <w:rFonts w:ascii="Times New Roman" w:hAnsi="Times New Roman" w:cs="Times New Roman" w:eastAsiaTheme="majorEastAsia"/>
          <w:b/>
          <w:bCs/>
        </w:rPr>
        <w:fldChar w:fldCharType="end"/>
      </w:r>
      <w:r>
        <w:rPr>
          <w:rFonts w:ascii="Times New Roman" w:hAnsi="Times New Roman" w:cs="Times New Roman" w:eastAsiaTheme="majorEastAsia"/>
          <w:b/>
          <w:bCs/>
        </w:rPr>
        <w:t xml:space="preserve"> Информации о качестве обслуживания потребителей услуг.</w:t>
      </w:r>
      <w:bookmarkEnd w:id="23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2020 году в ООО «Ставропольская электросеть» наибольшее число обращений зарегистрировано в категории «Запрос справочной информации/консультации», количество которых составило 91. Обращений, содержащих жалобу, поступило 0. Обращений, содержащих заявку на оказание услуг зарегистрировано 201. </w:t>
      </w:r>
      <w:bookmarkStart w:id="24" w:name="_Toc4759840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b/>
          <w:b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  <w:bookmarkEnd w:id="24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>Дополнительных услуг нет.</w:t>
      </w:r>
      <w:bookmarkStart w:id="25" w:name="_Toc4759841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 w:eastAsiaTheme="majorEastAsia"/>
          <w:bCs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граждан).</w:t>
      </w:r>
      <w:bookmarkEnd w:id="25"/>
    </w:p>
    <w:p>
      <w:pPr>
        <w:keepNext/>
        <w:keepLines/>
        <w:spacing w:before="200"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6" w:name="_Toc4759842"/>
      <w:r>
        <w:rPr>
          <w:rFonts w:ascii="Times New Roman" w:hAnsi="Times New Roman" w:cs="Times New Roman" w:eastAsiaTheme="majorEastAsia"/>
          <w:b/>
          <w:bCs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  <w:bookmarkEnd w:id="26"/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Согласно Приказа министерства энергетики РФ от 15 апреля 2014 г. № 186 « О  единых стандартах качества обслуживания сетевыми организациями потребителей услуг сетевых организаций ООО «Ставропольская электросеть» в период с 01 декабря по 25 декабря 2020 года был проведен социальный опрос потребителей о качестве обслуживания.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Анкета, на которую отвечали потребители, состояла из 3 вопросов.</w:t>
      </w:r>
    </w:p>
    <w:tbl>
      <w:tblPr>
        <w:tblStyle w:val="16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96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доступность информации о технологическом присоединении к электросетям ООО «Ставропольские электросети»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>
            <w:pPr>
              <w:pStyle w:val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Уровень клиентского сервиса по технологическому присоединению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6" w:type="dxa"/>
          </w:tcPr>
          <w:p>
            <w:pPr>
              <w:pStyle w:val="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Качество передаваемой электроэнергии по сетям </w:t>
            </w:r>
          </w:p>
          <w:p>
            <w:pPr>
              <w:pStyle w:val="35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>
      <w:pPr>
        <w:pStyle w:val="35"/>
        <w:spacing w:line="240" w:lineRule="atLeast"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1 вопрос о полноте и доступности информации о технологическом присоединении к электросетям ООО «Ставропольская электросеть» респонденты поставили следующие оценки: </w:t>
      </w:r>
      <w:r>
        <w:rPr>
          <w:rFonts w:ascii="Times New Roman" w:hAnsi="Times New Roman"/>
          <w:b/>
        </w:rPr>
        <w:t>100 % дали оценку «хорошо»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335915</wp:posOffset>
            </wp:positionV>
            <wp:extent cx="2981325" cy="1819275"/>
            <wp:effectExtent l="0" t="0" r="9525" b="9525"/>
            <wp:wrapTight wrapText="bothSides">
              <wp:wrapPolygon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>
      <w:pPr>
        <w:pStyle w:val="35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 вопрос «Уровень клиентского сервиса по технологическому присоединению»</w:t>
      </w:r>
    </w:p>
    <w:p>
      <w:pPr>
        <w:pStyle w:val="35"/>
        <w:spacing w:line="27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100 % дали оценку «хорошо»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121285</wp:posOffset>
            </wp:positionV>
            <wp:extent cx="2981325" cy="1819275"/>
            <wp:effectExtent l="0" t="0" r="9525" b="952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35"/>
        <w:contextualSpacing/>
        <w:jc w:val="right"/>
      </w:pPr>
      <w:r>
        <w:t xml:space="preserve"> </w:t>
      </w:r>
    </w:p>
    <w:p>
      <w:pPr>
        <w:pStyle w:val="35"/>
        <w:contextualSpacing/>
        <w:jc w:val="center"/>
        <w:rPr>
          <w:rFonts w:ascii="Times New Roman" w:hAnsi="Times New Roman" w:eastAsia="Calibri"/>
          <w:b/>
          <w:bCs/>
        </w:rPr>
      </w:pPr>
    </w:p>
    <w:p>
      <w:pPr>
        <w:pStyle w:val="35"/>
        <w:contextualSpacing/>
        <w:jc w:val="center"/>
        <w:rPr>
          <w:rFonts w:ascii="Times New Roman" w:hAnsi="Times New Roman" w:eastAsia="Calibri"/>
          <w:b/>
          <w:bCs/>
        </w:rPr>
      </w:pPr>
    </w:p>
    <w:p>
      <w:pPr>
        <w:pStyle w:val="35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eastAsia="Calibri"/>
          <w:b/>
          <w:bCs/>
        </w:rPr>
        <w:t>На 3 вопрос</w:t>
      </w:r>
      <w:r>
        <w:rPr>
          <w:rFonts w:ascii="Times New Roman" w:hAnsi="Times New Roman"/>
          <w:b/>
          <w:bCs/>
          <w:color w:val="000000"/>
        </w:rPr>
        <w:t xml:space="preserve"> «Качество передаваемой электроэнергии  по сетям»</w:t>
      </w:r>
    </w:p>
    <w:p>
      <w:pPr>
        <w:pStyle w:val="35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100%  дали оценку «хорошо».</w:t>
      </w:r>
    </w:p>
    <w:p>
      <w:pPr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  <w:lang w:eastAsia="ru-RU"/>
        </w:rPr>
        <w:drawing>
          <wp:inline distT="0" distB="0" distL="0" distR="0">
            <wp:extent cx="3171825" cy="19621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8"/>
          <w:szCs w:val="8"/>
        </w:rPr>
        <w:t xml:space="preserve">    </w:t>
      </w:r>
    </w:p>
    <w:p>
      <w:pPr>
        <w:keepNext/>
        <w:keepLines/>
        <w:spacing w:after="0"/>
        <w:jc w:val="both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7" w:name="_Toc4759843"/>
      <w:r>
        <w:rPr>
          <w:rFonts w:ascii="Times New Roman" w:hAnsi="Times New Roman" w:cs="Times New Roman" w:eastAsiaTheme="majorEastAsia"/>
          <w:b/>
          <w:bCs/>
        </w:rPr>
        <w:t>4.8. Мероприятия, выполняемые сетевой организацией в целях повышения качества обслуживания потребителей.</w:t>
      </w:r>
      <w:bookmarkEnd w:id="27"/>
    </w:p>
    <w:p>
      <w:pPr>
        <w:spacing w:after="0" w:line="322" w:lineRule="exact"/>
        <w:ind w:firstLine="720"/>
        <w:jc w:val="both"/>
        <w:rPr>
          <w:rFonts w:ascii="Times New Roman" w:hAnsi="Times New Roman" w:eastAsia="Arial Unicode MS" w:cs="Times New Roman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Основой мероприятий, реализуемых ООО «Ставропольская электросеть» для улучшения системы обслуживания потребителей, являются следующие принципы работы с потребителями: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качества и доступности услуг в соответствии с действующим законодательством Российской Федерации;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достаточная информированность потребителей о компании и услугах. Полная и достоверная информация обо всех процедурах взаимодействия с сетевой организацией носит публичный характер, предоставляется в доступной форме для потребителя услуг. Данный принцип предупреждает необходимость обращения потребителя в компанию для получения справочной информации и консультаций;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доступность и оперативность заочного и электронного (интерактивного) обслуживания. </w:t>
      </w:r>
      <w:r>
        <w:rPr>
          <w:rFonts w:ascii="Times New Roman" w:hAnsi="Times New Roman" w:eastAsia="Times New Roman" w:cs="Times New Roman"/>
          <w:lang w:eastAsia="ru-RU"/>
        </w:rPr>
        <w:t>ООО «Ставропольская электросеть»</w:t>
      </w:r>
      <w:r>
        <w:rPr>
          <w:rFonts w:ascii="Times New Roman" w:hAnsi="Times New Roman" w:cs="Times New Roman"/>
        </w:rPr>
        <w:t xml:space="preserve"> обеспечивает круглосуточный доступ к телефонному обслуживанию и оперативность реакции на запросы потребителей;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квалифицированное обслуживание. </w:t>
      </w:r>
    </w:p>
    <w:p>
      <w:pPr>
        <w:keepNext/>
        <w:keepLines/>
        <w:spacing w:before="200" w:after="0"/>
        <w:outlineLvl w:val="1"/>
        <w:rPr>
          <w:rFonts w:ascii="Times New Roman" w:hAnsi="Times New Roman" w:cs="Times New Roman" w:eastAsiaTheme="majorEastAsia"/>
          <w:b/>
          <w:bCs/>
        </w:rPr>
      </w:pPr>
      <w:bookmarkStart w:id="28" w:name="_Toc4759844"/>
      <w:r>
        <w:rPr>
          <w:rFonts w:ascii="Times New Roman" w:hAnsi="Times New Roman" w:cs="Times New Roman" w:eastAsiaTheme="majorEastAsia"/>
          <w:b/>
          <w:bCs/>
        </w:rPr>
        <w:t>4.9. Информация по обращениям потребителей.</w:t>
      </w:r>
      <w:bookmarkEnd w:id="28"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hAnsi="Times New Roman" w:eastAsia="Times New Roman" w:cs="Times New Roman"/>
          <w:lang w:eastAsia="ru-RU"/>
        </w:rPr>
        <w:t>ООО «Ставропольская электросеть »</w:t>
      </w:r>
      <w:r>
        <w:rPr>
          <w:rFonts w:ascii="Times New Roman" w:hAnsi="Times New Roman" w:cs="Times New Roman"/>
        </w:rPr>
        <w:t xml:space="preserve">в сети Интернет на странице 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>://</w:t>
      </w:r>
      <w:r>
        <w:rPr>
          <w:rFonts w:ascii="Times New Roman" w:hAnsi="Times New Roman" w:cs="Times New Roman"/>
          <w:u w:val="single"/>
          <w:lang w:val="en-US"/>
        </w:rPr>
        <w:t>stavrelektro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  <w:lang w:val="en-US"/>
        </w:rPr>
        <w:t>ru</w:t>
      </w:r>
      <w:r>
        <w:rPr>
          <w:rFonts w:ascii="Times New Roman" w:hAnsi="Times New Roman" w:cs="Times New Roman"/>
        </w:rPr>
        <w:t>. Файл «Информация о качестве обслуживания потребителей услуг».</w:t>
      </w:r>
    </w:p>
    <w:sectPr>
      <w:pgSz w:w="11905" w:h="16838"/>
      <w:pgMar w:top="1134" w:right="851" w:bottom="1134" w:left="1701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578840"/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525217"/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18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>
    <w:pPr>
      <w:pStyle w:val="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</w:p>
  </w:footnote>
  <w:footnote w:id="1">
    <w:p>
      <w:pPr>
        <w:pStyle w:val="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noPunctuationKerning w:val="1"/>
  <w:characterSpacingControl w:val="doNotCompress"/>
  <w:footnotePr>
    <w:numFmt w:val="chicago"/>
    <w:numRestart w:val="eachPage"/>
  </w:foot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D8"/>
    <w:rsid w:val="00002048"/>
    <w:rsid w:val="00002B80"/>
    <w:rsid w:val="0001233F"/>
    <w:rsid w:val="00097B18"/>
    <w:rsid w:val="000A0F9E"/>
    <w:rsid w:val="000B4A77"/>
    <w:rsid w:val="00104A50"/>
    <w:rsid w:val="001215C4"/>
    <w:rsid w:val="001467FE"/>
    <w:rsid w:val="00161D51"/>
    <w:rsid w:val="00181A0E"/>
    <w:rsid w:val="00191A90"/>
    <w:rsid w:val="00192EF1"/>
    <w:rsid w:val="0019589C"/>
    <w:rsid w:val="001C7510"/>
    <w:rsid w:val="001F4076"/>
    <w:rsid w:val="00205537"/>
    <w:rsid w:val="0021591B"/>
    <w:rsid w:val="00225509"/>
    <w:rsid w:val="00245C9F"/>
    <w:rsid w:val="00246A35"/>
    <w:rsid w:val="00251C59"/>
    <w:rsid w:val="0025474A"/>
    <w:rsid w:val="002B20E6"/>
    <w:rsid w:val="002E6C38"/>
    <w:rsid w:val="0030102C"/>
    <w:rsid w:val="00326539"/>
    <w:rsid w:val="00337DA3"/>
    <w:rsid w:val="00343181"/>
    <w:rsid w:val="00352024"/>
    <w:rsid w:val="0035593E"/>
    <w:rsid w:val="003622C0"/>
    <w:rsid w:val="00375BB2"/>
    <w:rsid w:val="003B09A9"/>
    <w:rsid w:val="003B7586"/>
    <w:rsid w:val="003E1CBE"/>
    <w:rsid w:val="00415678"/>
    <w:rsid w:val="00436A96"/>
    <w:rsid w:val="00436BFC"/>
    <w:rsid w:val="00460131"/>
    <w:rsid w:val="00462276"/>
    <w:rsid w:val="004A347D"/>
    <w:rsid w:val="004C6A03"/>
    <w:rsid w:val="004D1D52"/>
    <w:rsid w:val="004F11D1"/>
    <w:rsid w:val="004F70CF"/>
    <w:rsid w:val="00506511"/>
    <w:rsid w:val="00533110"/>
    <w:rsid w:val="005360A1"/>
    <w:rsid w:val="005456CA"/>
    <w:rsid w:val="0055043C"/>
    <w:rsid w:val="00551D0B"/>
    <w:rsid w:val="005755A9"/>
    <w:rsid w:val="00582F00"/>
    <w:rsid w:val="00591A03"/>
    <w:rsid w:val="005C3EB1"/>
    <w:rsid w:val="005D7628"/>
    <w:rsid w:val="005E7D40"/>
    <w:rsid w:val="005F01DE"/>
    <w:rsid w:val="005F5362"/>
    <w:rsid w:val="00620ED3"/>
    <w:rsid w:val="006322D3"/>
    <w:rsid w:val="006561CB"/>
    <w:rsid w:val="00670A22"/>
    <w:rsid w:val="0068547F"/>
    <w:rsid w:val="00693B32"/>
    <w:rsid w:val="006D5422"/>
    <w:rsid w:val="006F1698"/>
    <w:rsid w:val="007301E5"/>
    <w:rsid w:val="00731329"/>
    <w:rsid w:val="00737008"/>
    <w:rsid w:val="007C15ED"/>
    <w:rsid w:val="007C18C8"/>
    <w:rsid w:val="007C55F1"/>
    <w:rsid w:val="00841944"/>
    <w:rsid w:val="00874CD8"/>
    <w:rsid w:val="00876980"/>
    <w:rsid w:val="008B0392"/>
    <w:rsid w:val="008B5124"/>
    <w:rsid w:val="008B577C"/>
    <w:rsid w:val="008C095B"/>
    <w:rsid w:val="008C4906"/>
    <w:rsid w:val="008D7BF0"/>
    <w:rsid w:val="008E747B"/>
    <w:rsid w:val="008F613C"/>
    <w:rsid w:val="0090722F"/>
    <w:rsid w:val="00921366"/>
    <w:rsid w:val="00933ECB"/>
    <w:rsid w:val="009670EB"/>
    <w:rsid w:val="00967C3C"/>
    <w:rsid w:val="00973B94"/>
    <w:rsid w:val="00984E1E"/>
    <w:rsid w:val="009A5D70"/>
    <w:rsid w:val="009B5AD8"/>
    <w:rsid w:val="009E3F6B"/>
    <w:rsid w:val="00A109AC"/>
    <w:rsid w:val="00A27D02"/>
    <w:rsid w:val="00A37701"/>
    <w:rsid w:val="00A37ABD"/>
    <w:rsid w:val="00A419F0"/>
    <w:rsid w:val="00A601B5"/>
    <w:rsid w:val="00A64746"/>
    <w:rsid w:val="00A65397"/>
    <w:rsid w:val="00A824FD"/>
    <w:rsid w:val="00AB3C42"/>
    <w:rsid w:val="00AB4036"/>
    <w:rsid w:val="00AC14B7"/>
    <w:rsid w:val="00AD165A"/>
    <w:rsid w:val="00AE1819"/>
    <w:rsid w:val="00B15609"/>
    <w:rsid w:val="00B16778"/>
    <w:rsid w:val="00B41FDE"/>
    <w:rsid w:val="00B46103"/>
    <w:rsid w:val="00B57BC0"/>
    <w:rsid w:val="00B83380"/>
    <w:rsid w:val="00B866FD"/>
    <w:rsid w:val="00B911AF"/>
    <w:rsid w:val="00B9452E"/>
    <w:rsid w:val="00BA428C"/>
    <w:rsid w:val="00BD4F4B"/>
    <w:rsid w:val="00BE2AF1"/>
    <w:rsid w:val="00BF6A5E"/>
    <w:rsid w:val="00C20264"/>
    <w:rsid w:val="00C262CC"/>
    <w:rsid w:val="00C317CC"/>
    <w:rsid w:val="00C432BF"/>
    <w:rsid w:val="00C43EA8"/>
    <w:rsid w:val="00C5731C"/>
    <w:rsid w:val="00C65231"/>
    <w:rsid w:val="00C77426"/>
    <w:rsid w:val="00C86309"/>
    <w:rsid w:val="00CA4F8B"/>
    <w:rsid w:val="00CA7C9D"/>
    <w:rsid w:val="00CB3EB0"/>
    <w:rsid w:val="00CE027F"/>
    <w:rsid w:val="00D02992"/>
    <w:rsid w:val="00D02B92"/>
    <w:rsid w:val="00D17397"/>
    <w:rsid w:val="00D37E11"/>
    <w:rsid w:val="00D66AF1"/>
    <w:rsid w:val="00D96076"/>
    <w:rsid w:val="00DA449B"/>
    <w:rsid w:val="00DD6DE3"/>
    <w:rsid w:val="00DE095F"/>
    <w:rsid w:val="00DE3FCA"/>
    <w:rsid w:val="00DF7219"/>
    <w:rsid w:val="00E277B8"/>
    <w:rsid w:val="00E609E8"/>
    <w:rsid w:val="00E806E7"/>
    <w:rsid w:val="00E96231"/>
    <w:rsid w:val="00EE6FC5"/>
    <w:rsid w:val="00EF7A72"/>
    <w:rsid w:val="00F046A3"/>
    <w:rsid w:val="00F15647"/>
    <w:rsid w:val="00F17057"/>
    <w:rsid w:val="00F34CB6"/>
    <w:rsid w:val="00F40CCA"/>
    <w:rsid w:val="00F45110"/>
    <w:rsid w:val="00F500FD"/>
    <w:rsid w:val="00F67763"/>
    <w:rsid w:val="00F746D4"/>
    <w:rsid w:val="00F82041"/>
    <w:rsid w:val="00F923E2"/>
    <w:rsid w:val="00FA6780"/>
    <w:rsid w:val="00FE3FAF"/>
    <w:rsid w:val="00FF318F"/>
    <w:rsid w:val="00FF4575"/>
    <w:rsid w:val="02663C10"/>
    <w:rsid w:val="02FF1CB1"/>
    <w:rsid w:val="13E248F7"/>
    <w:rsid w:val="163A542C"/>
    <w:rsid w:val="20965B75"/>
    <w:rsid w:val="21D04230"/>
    <w:rsid w:val="223D55C6"/>
    <w:rsid w:val="26CA1559"/>
    <w:rsid w:val="26DA69C1"/>
    <w:rsid w:val="286277DC"/>
    <w:rsid w:val="2CB027DA"/>
    <w:rsid w:val="2D7F5397"/>
    <w:rsid w:val="2F3329C6"/>
    <w:rsid w:val="30F43FCD"/>
    <w:rsid w:val="3174379F"/>
    <w:rsid w:val="3B48205A"/>
    <w:rsid w:val="3C267A4B"/>
    <w:rsid w:val="3D4D1BB0"/>
    <w:rsid w:val="3E650CCC"/>
    <w:rsid w:val="3F89441C"/>
    <w:rsid w:val="412E6FDC"/>
    <w:rsid w:val="42266896"/>
    <w:rsid w:val="427B1B70"/>
    <w:rsid w:val="43BF4FBD"/>
    <w:rsid w:val="46C402DF"/>
    <w:rsid w:val="47BC138E"/>
    <w:rsid w:val="4A916D02"/>
    <w:rsid w:val="4CA23598"/>
    <w:rsid w:val="4EF12A2A"/>
    <w:rsid w:val="5260313F"/>
    <w:rsid w:val="57A52083"/>
    <w:rsid w:val="5D0D70D4"/>
    <w:rsid w:val="5E6B546F"/>
    <w:rsid w:val="6440665D"/>
    <w:rsid w:val="66A216B8"/>
    <w:rsid w:val="69F24818"/>
    <w:rsid w:val="74E96243"/>
    <w:rsid w:val="75077A58"/>
    <w:rsid w:val="775959AD"/>
    <w:rsid w:val="79574A72"/>
    <w:rsid w:val="7A593CAC"/>
    <w:rsid w:val="7AC61529"/>
    <w:rsid w:val="7E1B519C"/>
    <w:rsid w:val="7F3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note text"/>
    <w:basedOn w:val="1"/>
    <w:link w:val="2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oc 1"/>
    <w:basedOn w:val="1"/>
    <w:next w:val="1"/>
    <w:unhideWhenUsed/>
    <w:qFormat/>
    <w:uiPriority w:val="39"/>
    <w:pPr>
      <w:tabs>
        <w:tab w:val="right" w:leader="underscore" w:pos="14560"/>
      </w:tabs>
      <w:spacing w:after="100"/>
    </w:pPr>
    <w:rPr>
      <w:b/>
    </w:rPr>
  </w:style>
  <w:style w:type="paragraph" w:styleId="9">
    <w:name w:val="toc 2"/>
    <w:basedOn w:val="1"/>
    <w:next w:val="1"/>
    <w:qFormat/>
    <w:uiPriority w:val="39"/>
    <w:pPr>
      <w:tabs>
        <w:tab w:val="right" w:leader="underscore" w:pos="14601"/>
      </w:tabs>
      <w:spacing w:before="120" w:after="0" w:line="240" w:lineRule="auto"/>
      <w:ind w:left="567" w:hanging="24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0">
    <w:name w:val="toc 3"/>
    <w:basedOn w:val="1"/>
    <w:next w:val="1"/>
    <w:qFormat/>
    <w:uiPriority w:val="39"/>
    <w:pPr>
      <w:tabs>
        <w:tab w:val="right" w:leader="underscore" w:pos="9923"/>
      </w:tabs>
      <w:spacing w:after="0" w:line="240" w:lineRule="auto"/>
      <w:ind w:left="284" w:hanging="142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2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lang w:val="ru-RU" w:eastAsia="ru-RU" w:bidi="ar-SA"/>
    </w:rPr>
  </w:style>
  <w:style w:type="paragraph" w:customStyle="1" w:styleId="25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lang w:val="ru-RU" w:eastAsia="ru-RU" w:bidi="ar-SA"/>
    </w:rPr>
  </w:style>
  <w:style w:type="character" w:customStyle="1" w:styleId="26">
    <w:name w:val="Текст сноски Знак"/>
    <w:basedOn w:val="11"/>
    <w:link w:val="6"/>
    <w:semiHidden/>
    <w:qFormat/>
    <w:uiPriority w:val="99"/>
    <w:rPr>
      <w:sz w:val="20"/>
      <w:szCs w:val="20"/>
    </w:rPr>
  </w:style>
  <w:style w:type="character" w:customStyle="1" w:styleId="27">
    <w:name w:val="Текст выноски Знак"/>
    <w:basedOn w:val="11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Верхний колонтитул Знак"/>
    <w:basedOn w:val="11"/>
    <w:link w:val="7"/>
    <w:qFormat/>
    <w:uiPriority w:val="99"/>
  </w:style>
  <w:style w:type="character" w:customStyle="1" w:styleId="29">
    <w:name w:val="Нижний колонтитул Знак"/>
    <w:basedOn w:val="11"/>
    <w:link w:val="5"/>
    <w:qFormat/>
    <w:uiPriority w:val="99"/>
  </w:style>
  <w:style w:type="paragraph" w:styleId="30">
    <w:name w:val="List Paragraph"/>
    <w:basedOn w:val="1"/>
    <w:link w:val="32"/>
    <w:qFormat/>
    <w:uiPriority w:val="34"/>
    <w:pPr>
      <w:ind w:left="720"/>
      <w:contextualSpacing/>
    </w:pPr>
  </w:style>
  <w:style w:type="paragraph" w:customStyle="1" w:styleId="31">
    <w:name w:val="Знак Знак Знак 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32">
    <w:name w:val="Абзац списка Знак"/>
    <w:link w:val="30"/>
    <w:qFormat/>
    <w:uiPriority w:val="34"/>
  </w:style>
  <w:style w:type="paragraph" w:customStyle="1" w:styleId="33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customStyle="1" w:styleId="36">
    <w:name w:val=".HEADERTEX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color w:val="2B4279"/>
      <w:lang w:val="ru-RU" w:eastAsia="hi-IN" w:bidi="hi-IN"/>
    </w:rPr>
  </w:style>
  <w:style w:type="paragraph" w:customStyle="1" w:styleId="37">
    <w:name w:val=".FORMATTEXT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wmf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hart" Target="charts/chart3.xml"/><Relationship Id="rId12" Type="http://schemas.openxmlformats.org/officeDocument/2006/relationships/chart" Target="charts/chart2.xml"/><Relationship Id="rId11" Type="http://schemas.openxmlformats.org/officeDocument/2006/relationships/chart" Target="charts/chart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вопрос</a:t>
            </a:r>
            <a:endParaRPr lang="ru-RU"/>
          </a:p>
        </c:rich>
      </c:tx>
      <c:layout>
        <c:manualLayout>
          <c:xMode val="edge"/>
          <c:yMode val="edge"/>
          <c:x val="0.446579906678332"/>
          <c:y val="0.0357142857142857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393601391542034"/>
          <c:y val="0.17376834417437"/>
          <c:w val="0.471498858500676"/>
          <c:h val="0.69289832249229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explosion val="1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0.32826</cdr:x>
      <cdr:y>0.57522</cdr:y>
    </cdr:from>
    <cdr:to>
      <cdr:x>0.44783</cdr:x>
      <cdr:y>0.79646</cdr:y>
    </cdr:to>
    <cdr:sp>
      <cdr:nvSpPr>
        <cdr:cNvPr id="2" name="Rectangle 1"/>
        <cdr:cNvSpPr/>
      </cdr:nvSpPr>
      <cdr:spPr xmlns:a="http://schemas.openxmlformats.org/drawingml/2006/main">
        <a:xfrm xmlns:a="http://schemas.openxmlformats.org/drawingml/2006/main">
          <a:off x="1438275" y="1238250"/>
          <a:ext cx="523875" cy="4762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non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2FD99-2A55-4491-A396-A8569F09C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2896</Words>
  <Characters>16513</Characters>
  <Lines>137</Lines>
  <Paragraphs>38</Paragraphs>
  <TotalTime>161</TotalTime>
  <ScaleCrop>false</ScaleCrop>
  <LinksUpToDate>false</LinksUpToDate>
  <CharactersWithSpaces>19371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2019-03-29T08:36:00Z</dcterms:created>
  <dc:creator>Тюкша Константин Генрихович</dc:creator>
  <cp:lastModifiedBy>Сергей</cp:lastModifiedBy>
  <cp:lastPrinted>2019-03-27T10:28:00Z</cp:lastPrinted>
  <dcterms:modified xsi:type="dcterms:W3CDTF">2021-03-02T08:26:34Z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